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F7D" w:rsidRDefault="00F82F7D" w:rsidP="0011140B">
      <w:pPr>
        <w:rPr>
          <w:sz w:val="18"/>
          <w:szCs w:val="18"/>
        </w:rPr>
      </w:pPr>
    </w:p>
    <w:p w:rsidR="005F30E1" w:rsidRDefault="005F30E1" w:rsidP="0011140B">
      <w:pPr>
        <w:rPr>
          <w:sz w:val="18"/>
          <w:szCs w:val="18"/>
        </w:rPr>
      </w:pPr>
    </w:p>
    <w:p w:rsidR="005F30E1" w:rsidRPr="007F390A" w:rsidRDefault="005F30E1" w:rsidP="005F30E1">
      <w:pPr>
        <w:jc w:val="center"/>
        <w:rPr>
          <w:rFonts w:cs="Arial"/>
          <w:color w:val="514B64"/>
          <w:sz w:val="32"/>
        </w:rPr>
      </w:pPr>
      <w:r w:rsidRPr="007F390A">
        <w:rPr>
          <w:rFonts w:cs="Arial"/>
          <w:color w:val="514B64"/>
          <w:sz w:val="32"/>
        </w:rPr>
        <w:t>Traitement des charges liées au financement de la recherche, de l'enseignement et des missions d'intérêt général dans l’ENC</w:t>
      </w:r>
    </w:p>
    <w:p w:rsidR="005F30E1" w:rsidRPr="008D5B31" w:rsidRDefault="005F30E1" w:rsidP="005F30E1">
      <w:pPr>
        <w:jc w:val="center"/>
        <w:rPr>
          <w:rFonts w:cs="Arial"/>
          <w:color w:val="514B64"/>
        </w:rPr>
      </w:pPr>
    </w:p>
    <w:p w:rsidR="005F30E1" w:rsidRPr="008D5B31" w:rsidRDefault="005F30E1" w:rsidP="005F30E1">
      <w:pPr>
        <w:jc w:val="center"/>
        <w:rPr>
          <w:rFonts w:cs="Arial"/>
        </w:rPr>
      </w:pPr>
    </w:p>
    <w:p w:rsidR="005F30E1" w:rsidRPr="008D5B31" w:rsidRDefault="005F30E1" w:rsidP="005F30E1">
      <w:pPr>
        <w:rPr>
          <w:rFonts w:cs="Arial"/>
        </w:rPr>
      </w:pPr>
    </w:p>
    <w:p w:rsidR="005F30E1" w:rsidRPr="008D5B31" w:rsidRDefault="005F30E1" w:rsidP="005F30E1">
      <w:pPr>
        <w:spacing w:before="0" w:line="240" w:lineRule="auto"/>
        <w:rPr>
          <w:rFonts w:cs="Arial"/>
        </w:rPr>
      </w:pPr>
    </w:p>
    <w:p w:rsidR="005F30E1" w:rsidRPr="007F390A" w:rsidRDefault="005F30E1" w:rsidP="005F30E1">
      <w:r w:rsidRPr="007F390A">
        <w:t xml:space="preserve">L’objectif de l’ENC est à la fois de constituer des référentiels de coûts par séjour/séquence et est également un outil de construction tarifaire. De ce fait, il est nécessaire d’identifier les coûts liés à certains financements. </w:t>
      </w:r>
    </w:p>
    <w:p w:rsidR="005F30E1" w:rsidRDefault="005F30E1" w:rsidP="005F30E1"/>
    <w:p w:rsidR="005F30E1" w:rsidRDefault="005F30E1" w:rsidP="005F30E1"/>
    <w:p w:rsidR="005F30E1" w:rsidRDefault="005F30E1" w:rsidP="005F30E1"/>
    <w:p w:rsidR="005F30E1" w:rsidRDefault="005F30E1" w:rsidP="005F30E1">
      <w:pPr>
        <w:rPr>
          <w:rFonts w:cs="Arial"/>
        </w:rPr>
      </w:pPr>
    </w:p>
    <w:sdt>
      <w:sdtPr>
        <w:rPr>
          <w:rFonts w:ascii="Arial" w:eastAsia="Times New Roman" w:hAnsi="Arial" w:cs="Times New Roman"/>
          <w:b w:val="0"/>
          <w:bCs w:val="0"/>
          <w:color w:val="auto"/>
          <w:sz w:val="20"/>
          <w:szCs w:val="20"/>
        </w:rPr>
        <w:id w:val="-1358119706"/>
        <w:docPartObj>
          <w:docPartGallery w:val="Table of Contents"/>
          <w:docPartUnique/>
        </w:docPartObj>
      </w:sdtPr>
      <w:sdtEndPr>
        <w:rPr>
          <w:rFonts w:cs="Arial"/>
        </w:rPr>
      </w:sdtEndPr>
      <w:sdtContent>
        <w:p w:rsidR="005F30E1" w:rsidRPr="008D5B31" w:rsidRDefault="005F30E1" w:rsidP="005F30E1">
          <w:pPr>
            <w:pStyle w:val="En-ttedetabledesmatires"/>
          </w:pPr>
          <w:r w:rsidRPr="008D5B31">
            <w:t>Contenu</w:t>
          </w:r>
        </w:p>
        <w:p w:rsidR="0005557B" w:rsidRDefault="005F30E1">
          <w:pPr>
            <w:pStyle w:val="TM1"/>
            <w:tabs>
              <w:tab w:val="left" w:pos="440"/>
              <w:tab w:val="right" w:leader="dot" w:pos="9062"/>
            </w:tabs>
            <w:rPr>
              <w:rFonts w:asciiTheme="minorHAnsi" w:eastAsiaTheme="minorEastAsia" w:hAnsiTheme="minorHAnsi" w:cstheme="minorBidi"/>
              <w:noProof/>
              <w:sz w:val="22"/>
              <w:szCs w:val="22"/>
            </w:rPr>
          </w:pPr>
          <w:r w:rsidRPr="008D5B31">
            <w:rPr>
              <w:rFonts w:cs="Arial"/>
            </w:rPr>
            <w:fldChar w:fldCharType="begin"/>
          </w:r>
          <w:r w:rsidRPr="008D5B31">
            <w:rPr>
              <w:rFonts w:cs="Arial"/>
            </w:rPr>
            <w:instrText xml:space="preserve"> TOC \o "1-3" \h \z \u </w:instrText>
          </w:r>
          <w:r w:rsidRPr="008D5B31">
            <w:rPr>
              <w:rFonts w:cs="Arial"/>
            </w:rPr>
            <w:fldChar w:fldCharType="separate"/>
          </w:r>
          <w:hyperlink w:anchor="_Toc383513191" w:history="1">
            <w:r w:rsidR="0005557B" w:rsidRPr="00906C89">
              <w:rPr>
                <w:rStyle w:val="Lienhypertexte"/>
                <w:noProof/>
              </w:rPr>
              <w:t>I.</w:t>
            </w:r>
            <w:r w:rsidR="0005557B">
              <w:rPr>
                <w:rFonts w:asciiTheme="minorHAnsi" w:eastAsiaTheme="minorEastAsia" w:hAnsiTheme="minorHAnsi" w:cstheme="minorBidi"/>
                <w:noProof/>
                <w:sz w:val="22"/>
                <w:szCs w:val="22"/>
              </w:rPr>
              <w:tab/>
            </w:r>
            <w:r w:rsidR="0005557B" w:rsidRPr="00906C89">
              <w:rPr>
                <w:rStyle w:val="Lienhypertexte"/>
                <w:noProof/>
              </w:rPr>
              <w:t>Point de vue Financement :</w:t>
            </w:r>
            <w:r w:rsidR="0005557B">
              <w:rPr>
                <w:noProof/>
                <w:webHidden/>
              </w:rPr>
              <w:tab/>
            </w:r>
            <w:r w:rsidR="0005557B">
              <w:rPr>
                <w:noProof/>
                <w:webHidden/>
              </w:rPr>
              <w:fldChar w:fldCharType="begin"/>
            </w:r>
            <w:r w:rsidR="0005557B">
              <w:rPr>
                <w:noProof/>
                <w:webHidden/>
              </w:rPr>
              <w:instrText xml:space="preserve"> PAGEREF _Toc383513191 \h </w:instrText>
            </w:r>
            <w:r w:rsidR="0005557B">
              <w:rPr>
                <w:noProof/>
                <w:webHidden/>
              </w:rPr>
            </w:r>
            <w:r w:rsidR="0005557B">
              <w:rPr>
                <w:noProof/>
                <w:webHidden/>
              </w:rPr>
              <w:fldChar w:fldCharType="separate"/>
            </w:r>
            <w:r w:rsidR="007D33B1">
              <w:rPr>
                <w:noProof/>
                <w:webHidden/>
              </w:rPr>
              <w:t>2</w:t>
            </w:r>
            <w:r w:rsidR="0005557B">
              <w:rPr>
                <w:noProof/>
                <w:webHidden/>
              </w:rPr>
              <w:fldChar w:fldCharType="end"/>
            </w:r>
          </w:hyperlink>
        </w:p>
        <w:p w:rsidR="0005557B" w:rsidRDefault="009615AB">
          <w:pPr>
            <w:pStyle w:val="TM1"/>
            <w:tabs>
              <w:tab w:val="left" w:pos="440"/>
              <w:tab w:val="right" w:leader="dot" w:pos="9062"/>
            </w:tabs>
            <w:rPr>
              <w:rFonts w:asciiTheme="minorHAnsi" w:eastAsiaTheme="minorEastAsia" w:hAnsiTheme="minorHAnsi" w:cstheme="minorBidi"/>
              <w:noProof/>
              <w:sz w:val="22"/>
              <w:szCs w:val="22"/>
            </w:rPr>
          </w:pPr>
          <w:hyperlink w:anchor="_Toc383513192" w:history="1">
            <w:r w:rsidR="0005557B" w:rsidRPr="00906C89">
              <w:rPr>
                <w:rStyle w:val="Lienhypertexte"/>
                <w:noProof/>
              </w:rPr>
              <w:t>II.</w:t>
            </w:r>
            <w:r w:rsidR="0005557B">
              <w:rPr>
                <w:rFonts w:asciiTheme="minorHAnsi" w:eastAsiaTheme="minorEastAsia" w:hAnsiTheme="minorHAnsi" w:cstheme="minorBidi"/>
                <w:noProof/>
                <w:sz w:val="22"/>
                <w:szCs w:val="22"/>
              </w:rPr>
              <w:tab/>
            </w:r>
            <w:r w:rsidR="0005557B" w:rsidRPr="00906C89">
              <w:rPr>
                <w:rStyle w:val="Lienhypertexte"/>
                <w:noProof/>
              </w:rPr>
              <w:t>Point de vue Activités :</w:t>
            </w:r>
            <w:r w:rsidR="0005557B">
              <w:rPr>
                <w:noProof/>
                <w:webHidden/>
              </w:rPr>
              <w:tab/>
            </w:r>
            <w:r w:rsidR="0005557B">
              <w:rPr>
                <w:noProof/>
                <w:webHidden/>
              </w:rPr>
              <w:fldChar w:fldCharType="begin"/>
            </w:r>
            <w:r w:rsidR="0005557B">
              <w:rPr>
                <w:noProof/>
                <w:webHidden/>
              </w:rPr>
              <w:instrText xml:space="preserve"> PAGEREF _Toc383513192 \h </w:instrText>
            </w:r>
            <w:r w:rsidR="0005557B">
              <w:rPr>
                <w:noProof/>
                <w:webHidden/>
              </w:rPr>
            </w:r>
            <w:r w:rsidR="0005557B">
              <w:rPr>
                <w:noProof/>
                <w:webHidden/>
              </w:rPr>
              <w:fldChar w:fldCharType="separate"/>
            </w:r>
            <w:r w:rsidR="007D33B1">
              <w:rPr>
                <w:noProof/>
                <w:webHidden/>
              </w:rPr>
              <w:t>3</w:t>
            </w:r>
            <w:r w:rsidR="0005557B">
              <w:rPr>
                <w:noProof/>
                <w:webHidden/>
              </w:rPr>
              <w:fldChar w:fldCharType="end"/>
            </w:r>
          </w:hyperlink>
        </w:p>
        <w:p w:rsidR="005F30E1" w:rsidRPr="008D5B31" w:rsidRDefault="005F30E1" w:rsidP="005F30E1">
          <w:pPr>
            <w:rPr>
              <w:rFonts w:cs="Arial"/>
            </w:rPr>
          </w:pPr>
          <w:r w:rsidRPr="008D5B31">
            <w:rPr>
              <w:rFonts w:cs="Arial"/>
              <w:b/>
              <w:bCs/>
            </w:rPr>
            <w:fldChar w:fldCharType="end"/>
          </w:r>
        </w:p>
      </w:sdtContent>
    </w:sdt>
    <w:p w:rsidR="00527BA7" w:rsidRDefault="00527BA7" w:rsidP="00DF20E1">
      <w:pPr>
        <w:ind w:left="284"/>
      </w:pPr>
    </w:p>
    <w:p w:rsidR="005F30E1" w:rsidRDefault="005F30E1" w:rsidP="00DF20E1">
      <w:pPr>
        <w:ind w:left="284"/>
      </w:pPr>
    </w:p>
    <w:p w:rsidR="005F30E1" w:rsidRDefault="005F30E1" w:rsidP="00DF20E1">
      <w:pPr>
        <w:ind w:left="284"/>
      </w:pPr>
    </w:p>
    <w:p w:rsidR="005F30E1" w:rsidRDefault="005F30E1" w:rsidP="00DF20E1">
      <w:pPr>
        <w:ind w:left="284"/>
      </w:pPr>
    </w:p>
    <w:p w:rsidR="005F30E1" w:rsidRDefault="005F30E1" w:rsidP="00DF20E1">
      <w:pPr>
        <w:ind w:left="284"/>
      </w:pPr>
    </w:p>
    <w:p w:rsidR="00992AAB" w:rsidRPr="0029081C" w:rsidRDefault="00F4436F" w:rsidP="00933ED1">
      <w:pPr>
        <w:ind w:left="284"/>
      </w:pPr>
      <w:r w:rsidRPr="0029081C">
        <w:t xml:space="preserve"> </w:t>
      </w:r>
    </w:p>
    <w:p w:rsidR="00992AAB" w:rsidRPr="0029081C" w:rsidRDefault="00A66C31" w:rsidP="00F4436F">
      <w:pPr>
        <w:ind w:left="1134"/>
        <w:sectPr w:rsidR="00992AAB" w:rsidRPr="0029081C" w:rsidSect="00C7771E">
          <w:headerReference w:type="default" r:id="rId9"/>
          <w:footerReference w:type="default" r:id="rId10"/>
          <w:headerReference w:type="first" r:id="rId11"/>
          <w:type w:val="continuous"/>
          <w:pgSz w:w="11906" w:h="16838"/>
          <w:pgMar w:top="1417" w:right="1417" w:bottom="1417" w:left="1417" w:header="567" w:footer="567" w:gutter="0"/>
          <w:cols w:space="708"/>
          <w:rtlGutter/>
          <w:docGrid w:linePitch="360"/>
        </w:sectPr>
      </w:pPr>
      <w:r>
        <w:rPr>
          <w:noProof/>
        </w:rPr>
        <mc:AlternateContent>
          <mc:Choice Requires="wps">
            <w:drawing>
              <wp:anchor distT="0" distB="0" distL="114300" distR="114300" simplePos="0" relativeHeight="251679744" behindDoc="0" locked="0" layoutInCell="1" allowOverlap="1" wp14:anchorId="5D5F13CB" wp14:editId="23872ACA">
                <wp:simplePos x="0" y="0"/>
                <wp:positionH relativeFrom="column">
                  <wp:posOffset>-622935</wp:posOffset>
                </wp:positionH>
                <wp:positionV relativeFrom="paragraph">
                  <wp:posOffset>1050925</wp:posOffset>
                </wp:positionV>
                <wp:extent cx="1368000" cy="0"/>
                <wp:effectExtent l="0" t="19050" r="3810" b="19050"/>
                <wp:wrapNone/>
                <wp:docPr id="5" name="Connecteur droit 5"/>
                <wp:cNvGraphicFramePr/>
                <a:graphic xmlns:a="http://schemas.openxmlformats.org/drawingml/2006/main">
                  <a:graphicData uri="http://schemas.microsoft.com/office/word/2010/wordprocessingShape">
                    <wps:wsp>
                      <wps:cNvCnPr/>
                      <wps:spPr>
                        <a:xfrm>
                          <a:off x="0" y="0"/>
                          <a:ext cx="1368000" cy="0"/>
                        </a:xfrm>
                        <a:prstGeom prst="line">
                          <a:avLst/>
                        </a:prstGeom>
                        <a:ln w="38100">
                          <a:solidFill>
                            <a:srgbClr val="00A6D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82.75pt" to="58.65pt,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" strokecolor="#00a6d5" strokeweight="3pt"/>
            </w:pict>
          </mc:Fallback>
        </mc:AlternateContent>
      </w:r>
    </w:p>
    <w:p w:rsidR="005F30E1" w:rsidRPr="00EF15E6" w:rsidRDefault="005F30E1" w:rsidP="005F30E1"/>
    <w:p w:rsidR="005F30E1" w:rsidRPr="007F390A" w:rsidRDefault="005F30E1" w:rsidP="005F30E1">
      <w:pPr>
        <w:pStyle w:val="Titre1"/>
        <w:tabs>
          <w:tab w:val="num" w:pos="432"/>
        </w:tabs>
        <w:ind w:left="432" w:hanging="432"/>
        <w:rPr>
          <w:sz w:val="22"/>
        </w:rPr>
      </w:pPr>
      <w:bookmarkStart w:id="0" w:name="_Toc383513191"/>
      <w:r w:rsidRPr="007F390A">
        <w:rPr>
          <w:sz w:val="22"/>
        </w:rPr>
        <w:t>Point de vue Financement :</w:t>
      </w:r>
      <w:bookmarkEnd w:id="0"/>
    </w:p>
    <w:tbl>
      <w:tblPr>
        <w:tblW w:w="10280" w:type="dxa"/>
        <w:tblInd w:w="-603" w:type="dxa"/>
        <w:tblCellMar>
          <w:left w:w="70" w:type="dxa"/>
          <w:right w:w="70" w:type="dxa"/>
        </w:tblCellMar>
        <w:tblLook w:val="04A0" w:firstRow="1" w:lastRow="0" w:firstColumn="1" w:lastColumn="0" w:noHBand="0" w:noVBand="1"/>
      </w:tblPr>
      <w:tblGrid>
        <w:gridCol w:w="3984"/>
        <w:gridCol w:w="2756"/>
        <w:gridCol w:w="3540"/>
      </w:tblGrid>
      <w:tr w:rsidR="005F30E1" w:rsidTr="00306BB0">
        <w:trPr>
          <w:trHeight w:val="600"/>
        </w:trPr>
        <w:tc>
          <w:tcPr>
            <w:tcW w:w="3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0E1" w:rsidRDefault="005F30E1" w:rsidP="0071682F">
            <w:pPr>
              <w:jc w:val="center"/>
              <w:rPr>
                <w:rFonts w:ascii="Calibri" w:hAnsi="Calibri" w:cs="Calibri"/>
                <w:b/>
                <w:bCs/>
                <w:color w:val="000000"/>
                <w:sz w:val="22"/>
                <w:szCs w:val="22"/>
              </w:rPr>
            </w:pPr>
            <w:r>
              <w:rPr>
                <w:rFonts w:ascii="Calibri" w:hAnsi="Calibri" w:cs="Calibri"/>
                <w:b/>
                <w:bCs/>
                <w:color w:val="000000"/>
                <w:sz w:val="22"/>
                <w:szCs w:val="22"/>
              </w:rPr>
              <w:t>Précisions apportées pour certains types de financement</w:t>
            </w:r>
          </w:p>
        </w:tc>
        <w:tc>
          <w:tcPr>
            <w:tcW w:w="2756" w:type="dxa"/>
            <w:tcBorders>
              <w:top w:val="single" w:sz="4" w:space="0" w:color="auto"/>
              <w:left w:val="nil"/>
              <w:bottom w:val="single" w:sz="4" w:space="0" w:color="auto"/>
              <w:right w:val="single" w:sz="4" w:space="0" w:color="auto"/>
            </w:tcBorders>
            <w:shd w:val="clear" w:color="auto" w:fill="auto"/>
            <w:vAlign w:val="center"/>
            <w:hideMark/>
          </w:tcPr>
          <w:p w:rsidR="005F30E1" w:rsidRDefault="005F30E1" w:rsidP="0071682F">
            <w:pPr>
              <w:jc w:val="center"/>
              <w:rPr>
                <w:rFonts w:ascii="Calibri" w:hAnsi="Calibri" w:cs="Calibri"/>
                <w:b/>
                <w:bCs/>
                <w:color w:val="000000"/>
                <w:sz w:val="22"/>
                <w:szCs w:val="22"/>
              </w:rPr>
            </w:pPr>
            <w:r>
              <w:rPr>
                <w:rFonts w:ascii="Calibri" w:hAnsi="Calibri" w:cs="Calibri"/>
                <w:b/>
                <w:bCs/>
                <w:color w:val="000000"/>
                <w:sz w:val="22"/>
                <w:szCs w:val="22"/>
              </w:rPr>
              <w:t>Traitement des charges liées au financement</w:t>
            </w:r>
          </w:p>
        </w:tc>
        <w:tc>
          <w:tcPr>
            <w:tcW w:w="3540" w:type="dxa"/>
            <w:tcBorders>
              <w:top w:val="single" w:sz="4" w:space="0" w:color="auto"/>
              <w:left w:val="nil"/>
              <w:bottom w:val="single" w:sz="4" w:space="0" w:color="auto"/>
              <w:right w:val="single" w:sz="4" w:space="0" w:color="auto"/>
            </w:tcBorders>
            <w:shd w:val="clear" w:color="auto" w:fill="auto"/>
            <w:vAlign w:val="center"/>
            <w:hideMark/>
          </w:tcPr>
          <w:p w:rsidR="005F30E1" w:rsidRDefault="005F30E1" w:rsidP="0071682F">
            <w:pPr>
              <w:jc w:val="center"/>
              <w:rPr>
                <w:rFonts w:ascii="Calibri" w:hAnsi="Calibri" w:cs="Calibri"/>
                <w:b/>
                <w:bCs/>
                <w:color w:val="000000"/>
                <w:sz w:val="22"/>
                <w:szCs w:val="22"/>
              </w:rPr>
            </w:pPr>
            <w:r>
              <w:rPr>
                <w:rFonts w:ascii="Calibri" w:hAnsi="Calibri" w:cs="Calibri"/>
                <w:b/>
                <w:bCs/>
                <w:color w:val="000000"/>
                <w:sz w:val="22"/>
                <w:szCs w:val="22"/>
              </w:rPr>
              <w:t>Traitement des produits</w:t>
            </w:r>
          </w:p>
        </w:tc>
      </w:tr>
      <w:tr w:rsidR="005F30E1" w:rsidTr="00306BB0">
        <w:trPr>
          <w:trHeight w:val="300"/>
        </w:trPr>
        <w:tc>
          <w:tcPr>
            <w:tcW w:w="3984" w:type="dxa"/>
            <w:tcBorders>
              <w:top w:val="single" w:sz="4" w:space="0" w:color="auto"/>
              <w:left w:val="single" w:sz="4" w:space="0" w:color="auto"/>
              <w:right w:val="single" w:sz="4" w:space="0" w:color="auto"/>
            </w:tcBorders>
            <w:shd w:val="clear" w:color="auto" w:fill="auto"/>
            <w:noWrap/>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MIGAC :</w:t>
            </w:r>
          </w:p>
        </w:tc>
        <w:tc>
          <w:tcPr>
            <w:tcW w:w="2756" w:type="dxa"/>
            <w:tcBorders>
              <w:top w:val="single" w:sz="4" w:space="0" w:color="auto"/>
              <w:left w:val="nil"/>
              <w:right w:val="single" w:sz="4" w:space="0" w:color="auto"/>
            </w:tcBorders>
            <w:shd w:val="clear" w:color="000000" w:fill="BFBFBF"/>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 </w:t>
            </w:r>
          </w:p>
        </w:tc>
        <w:tc>
          <w:tcPr>
            <w:tcW w:w="3540" w:type="dxa"/>
            <w:tcBorders>
              <w:top w:val="single" w:sz="4" w:space="0" w:color="auto"/>
              <w:left w:val="nil"/>
              <w:right w:val="single" w:sz="4" w:space="0" w:color="auto"/>
            </w:tcBorders>
            <w:shd w:val="clear" w:color="000000" w:fill="BFBFBF"/>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 </w:t>
            </w:r>
          </w:p>
        </w:tc>
      </w:tr>
      <w:tr w:rsidR="005F30E1" w:rsidTr="00306BB0">
        <w:trPr>
          <w:trHeight w:val="300"/>
        </w:trPr>
        <w:tc>
          <w:tcPr>
            <w:tcW w:w="3984" w:type="dxa"/>
            <w:tcBorders>
              <w:left w:val="single" w:sz="4" w:space="0" w:color="auto"/>
              <w:right w:val="single" w:sz="4" w:space="0" w:color="auto"/>
            </w:tcBorders>
            <w:shd w:val="clear" w:color="auto" w:fill="auto"/>
            <w:noWrap/>
            <w:vAlign w:val="center"/>
            <w:hideMark/>
          </w:tcPr>
          <w:p w:rsidR="005F30E1" w:rsidRDefault="005F30E1" w:rsidP="0071682F">
            <w:pPr>
              <w:ind w:firstLineChars="200" w:firstLine="440"/>
              <w:rPr>
                <w:rFonts w:ascii="Calibri" w:hAnsi="Calibri" w:cs="Calibri"/>
                <w:color w:val="000000"/>
                <w:sz w:val="22"/>
                <w:szCs w:val="22"/>
              </w:rPr>
            </w:pPr>
            <w:r>
              <w:rPr>
                <w:rFonts w:ascii="Calibri" w:hAnsi="Calibri" w:cs="Calibri"/>
                <w:color w:val="000000"/>
                <w:sz w:val="22"/>
                <w:szCs w:val="22"/>
              </w:rPr>
              <w:t>-MIG :</w:t>
            </w:r>
          </w:p>
        </w:tc>
        <w:tc>
          <w:tcPr>
            <w:tcW w:w="2756" w:type="dxa"/>
            <w:tcBorders>
              <w:left w:val="nil"/>
              <w:right w:val="single" w:sz="4" w:space="0" w:color="auto"/>
            </w:tcBorders>
            <w:shd w:val="clear" w:color="000000" w:fill="BFBFBF"/>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 </w:t>
            </w:r>
          </w:p>
        </w:tc>
        <w:tc>
          <w:tcPr>
            <w:tcW w:w="3540" w:type="dxa"/>
            <w:tcBorders>
              <w:left w:val="nil"/>
              <w:right w:val="single" w:sz="4" w:space="0" w:color="auto"/>
            </w:tcBorders>
            <w:shd w:val="clear" w:color="000000" w:fill="BFBFBF"/>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 </w:t>
            </w:r>
          </w:p>
        </w:tc>
      </w:tr>
      <w:tr w:rsidR="005F30E1" w:rsidTr="00306BB0">
        <w:trPr>
          <w:trHeight w:val="600"/>
        </w:trPr>
        <w:tc>
          <w:tcPr>
            <w:tcW w:w="3984" w:type="dxa"/>
            <w:tcBorders>
              <w:left w:val="single" w:sz="4" w:space="0" w:color="auto"/>
              <w:bottom w:val="dotted" w:sz="4" w:space="0" w:color="auto"/>
              <w:right w:val="single" w:sz="4" w:space="0" w:color="auto"/>
            </w:tcBorders>
            <w:shd w:val="clear" w:color="auto" w:fill="auto"/>
            <w:noWrap/>
            <w:vAlign w:val="center"/>
            <w:hideMark/>
          </w:tcPr>
          <w:p w:rsidR="005F30E1" w:rsidRDefault="005F30E1" w:rsidP="0071682F">
            <w:pPr>
              <w:ind w:firstLineChars="500" w:firstLine="1100"/>
              <w:rPr>
                <w:rFonts w:ascii="Calibri" w:hAnsi="Calibri" w:cs="Calibri"/>
                <w:color w:val="000000"/>
                <w:sz w:val="22"/>
                <w:szCs w:val="22"/>
              </w:rPr>
            </w:pPr>
            <w:r>
              <w:rPr>
                <w:rFonts w:ascii="Calibri" w:hAnsi="Calibri" w:cs="Calibri"/>
                <w:color w:val="000000"/>
                <w:sz w:val="22"/>
                <w:szCs w:val="22"/>
              </w:rPr>
              <w:t>-MERRI fixe et modulable</w:t>
            </w:r>
          </w:p>
        </w:tc>
        <w:tc>
          <w:tcPr>
            <w:tcW w:w="2756" w:type="dxa"/>
            <w:tcBorders>
              <w:left w:val="nil"/>
              <w:bottom w:val="dotted"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inclus dans les charges des séjours (non dissociable)</w:t>
            </w:r>
          </w:p>
        </w:tc>
        <w:tc>
          <w:tcPr>
            <w:tcW w:w="3540" w:type="dxa"/>
            <w:tcBorders>
              <w:left w:val="nil"/>
              <w:bottom w:val="dotted"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r w:rsidR="005F30E1" w:rsidTr="00306BB0">
        <w:trPr>
          <w:trHeight w:val="600"/>
        </w:trPr>
        <w:tc>
          <w:tcPr>
            <w:tcW w:w="3984"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F30E1" w:rsidRDefault="005F30E1" w:rsidP="0071682F">
            <w:pPr>
              <w:ind w:firstLineChars="500" w:firstLine="1100"/>
              <w:rPr>
                <w:rFonts w:ascii="Calibri" w:hAnsi="Calibri" w:cs="Calibri"/>
                <w:color w:val="000000"/>
                <w:sz w:val="22"/>
                <w:szCs w:val="22"/>
              </w:rPr>
            </w:pPr>
            <w:r>
              <w:rPr>
                <w:rFonts w:ascii="Calibri" w:hAnsi="Calibri" w:cs="Calibri"/>
                <w:color w:val="000000"/>
                <w:sz w:val="22"/>
                <w:szCs w:val="22"/>
              </w:rPr>
              <w:t>-MERRI variable</w:t>
            </w:r>
          </w:p>
        </w:tc>
        <w:tc>
          <w:tcPr>
            <w:tcW w:w="2756" w:type="dxa"/>
            <w:tcBorders>
              <w:top w:val="dotted" w:sz="4" w:space="0" w:color="auto"/>
              <w:left w:val="nil"/>
              <w:bottom w:val="dotted"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 xml:space="preserve"> voir tableau joint</w:t>
            </w:r>
          </w:p>
        </w:tc>
        <w:tc>
          <w:tcPr>
            <w:tcW w:w="3540" w:type="dxa"/>
            <w:tcBorders>
              <w:top w:val="dotted" w:sz="4" w:space="0" w:color="auto"/>
              <w:left w:val="nil"/>
              <w:bottom w:val="dotted"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r w:rsidR="005F30E1" w:rsidTr="00306BB0">
        <w:trPr>
          <w:trHeight w:val="600"/>
        </w:trPr>
        <w:tc>
          <w:tcPr>
            <w:tcW w:w="3984"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F30E1" w:rsidRDefault="005F30E1" w:rsidP="0071682F">
            <w:pPr>
              <w:ind w:firstLineChars="500" w:firstLine="1100"/>
              <w:rPr>
                <w:rFonts w:ascii="Calibri" w:hAnsi="Calibri" w:cs="Calibri"/>
                <w:color w:val="000000"/>
                <w:sz w:val="22"/>
                <w:szCs w:val="22"/>
              </w:rPr>
            </w:pPr>
            <w:r>
              <w:rPr>
                <w:rFonts w:ascii="Calibri" w:hAnsi="Calibri" w:cs="Calibri"/>
                <w:color w:val="000000"/>
                <w:sz w:val="22"/>
                <w:szCs w:val="22"/>
              </w:rPr>
              <w:t>-Autres MIG</w:t>
            </w:r>
          </w:p>
        </w:tc>
        <w:tc>
          <w:tcPr>
            <w:tcW w:w="2756" w:type="dxa"/>
            <w:tcBorders>
              <w:top w:val="dotted" w:sz="4" w:space="0" w:color="auto"/>
              <w:left w:val="nil"/>
              <w:bottom w:val="dotted"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voir tableau joint</w:t>
            </w:r>
          </w:p>
        </w:tc>
        <w:tc>
          <w:tcPr>
            <w:tcW w:w="3540" w:type="dxa"/>
            <w:tcBorders>
              <w:top w:val="dotted" w:sz="4" w:space="0" w:color="auto"/>
              <w:left w:val="nil"/>
              <w:bottom w:val="dotted"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r w:rsidR="005F30E1" w:rsidTr="00306BB0">
        <w:trPr>
          <w:trHeight w:val="600"/>
        </w:trPr>
        <w:tc>
          <w:tcPr>
            <w:tcW w:w="3984"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5F30E1" w:rsidRDefault="005F30E1" w:rsidP="0071682F">
            <w:pPr>
              <w:ind w:firstLineChars="200" w:firstLine="440"/>
              <w:rPr>
                <w:rFonts w:ascii="Calibri" w:hAnsi="Calibri" w:cs="Calibri"/>
                <w:color w:val="000000"/>
                <w:sz w:val="22"/>
                <w:szCs w:val="22"/>
              </w:rPr>
            </w:pPr>
            <w:r>
              <w:rPr>
                <w:rFonts w:ascii="Calibri" w:hAnsi="Calibri" w:cs="Calibri"/>
                <w:color w:val="000000"/>
                <w:sz w:val="22"/>
                <w:szCs w:val="22"/>
              </w:rPr>
              <w:t>-AC</w:t>
            </w:r>
          </w:p>
        </w:tc>
        <w:tc>
          <w:tcPr>
            <w:tcW w:w="2756" w:type="dxa"/>
            <w:tcBorders>
              <w:top w:val="dotted" w:sz="4" w:space="0" w:color="auto"/>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inclus dans les charges des séjours (non dissociable)</w:t>
            </w:r>
          </w:p>
        </w:tc>
        <w:tc>
          <w:tcPr>
            <w:tcW w:w="3540" w:type="dxa"/>
            <w:tcBorders>
              <w:top w:val="dotted" w:sz="4" w:space="0" w:color="auto"/>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r w:rsidR="005F30E1" w:rsidTr="00306BB0">
        <w:trPr>
          <w:trHeight w:val="358"/>
        </w:trPr>
        <w:tc>
          <w:tcPr>
            <w:tcW w:w="3984" w:type="dxa"/>
            <w:tcBorders>
              <w:top w:val="single" w:sz="4" w:space="0" w:color="auto"/>
              <w:left w:val="single" w:sz="4" w:space="0" w:color="auto"/>
              <w:right w:val="single" w:sz="4" w:space="0" w:color="auto"/>
            </w:tcBorders>
            <w:shd w:val="clear" w:color="auto" w:fill="auto"/>
            <w:noWrap/>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FIR</w:t>
            </w:r>
          </w:p>
        </w:tc>
        <w:tc>
          <w:tcPr>
            <w:tcW w:w="2756" w:type="dxa"/>
            <w:tcBorders>
              <w:top w:val="single" w:sz="4" w:space="0" w:color="auto"/>
              <w:left w:val="nil"/>
              <w:right w:val="single" w:sz="4" w:space="0" w:color="auto"/>
            </w:tcBorders>
            <w:shd w:val="clear" w:color="auto" w:fill="auto"/>
            <w:vAlign w:val="center"/>
          </w:tcPr>
          <w:p w:rsidR="005F30E1" w:rsidRPr="009615AB" w:rsidRDefault="005F30E1" w:rsidP="0071682F">
            <w:pPr>
              <w:rPr>
                <w:rFonts w:ascii="Calibri" w:hAnsi="Calibri" w:cs="Calibri"/>
                <w:color w:val="000000"/>
                <w:sz w:val="22"/>
                <w:szCs w:val="22"/>
              </w:rPr>
            </w:pPr>
          </w:p>
        </w:tc>
        <w:tc>
          <w:tcPr>
            <w:tcW w:w="3540" w:type="dxa"/>
            <w:tcBorders>
              <w:top w:val="single" w:sz="4" w:space="0" w:color="auto"/>
              <w:left w:val="nil"/>
              <w:right w:val="single" w:sz="4" w:space="0" w:color="auto"/>
            </w:tcBorders>
            <w:shd w:val="clear" w:color="auto" w:fill="auto"/>
            <w:vAlign w:val="center"/>
          </w:tcPr>
          <w:p w:rsidR="005F30E1" w:rsidRPr="009615AB" w:rsidRDefault="005F30E1" w:rsidP="0071682F">
            <w:pPr>
              <w:rPr>
                <w:rFonts w:ascii="Calibri" w:hAnsi="Calibri" w:cs="Calibri"/>
                <w:color w:val="000000"/>
                <w:sz w:val="22"/>
                <w:szCs w:val="22"/>
              </w:rPr>
            </w:pPr>
          </w:p>
        </w:tc>
      </w:tr>
      <w:tr w:rsidR="005F30E1" w:rsidTr="00306BB0">
        <w:trPr>
          <w:trHeight w:val="562"/>
        </w:trPr>
        <w:tc>
          <w:tcPr>
            <w:tcW w:w="3984" w:type="dxa"/>
            <w:tcBorders>
              <w:left w:val="single" w:sz="4" w:space="0" w:color="auto"/>
              <w:bottom w:val="dotted" w:sz="4" w:space="0" w:color="auto"/>
              <w:right w:val="single" w:sz="4" w:space="0" w:color="auto"/>
            </w:tcBorders>
            <w:shd w:val="clear" w:color="auto" w:fill="auto"/>
            <w:noWrap/>
            <w:vAlign w:val="center"/>
          </w:tcPr>
          <w:p w:rsidR="005F30E1" w:rsidRPr="009615AB" w:rsidRDefault="005F30E1" w:rsidP="0071682F">
            <w:pPr>
              <w:ind w:firstLine="371"/>
              <w:rPr>
                <w:rFonts w:ascii="Calibri" w:hAnsi="Calibri" w:cs="Calibri"/>
                <w:color w:val="000000"/>
                <w:sz w:val="22"/>
                <w:szCs w:val="22"/>
              </w:rPr>
            </w:pPr>
            <w:r w:rsidRPr="009615AB">
              <w:rPr>
                <w:rFonts w:ascii="Calibri" w:hAnsi="Calibri" w:cs="Calibri"/>
                <w:color w:val="000000"/>
                <w:sz w:val="22"/>
                <w:szCs w:val="22"/>
              </w:rPr>
              <w:t xml:space="preserve"> -FIR finançant la partie MIG</w:t>
            </w:r>
          </w:p>
        </w:tc>
        <w:tc>
          <w:tcPr>
            <w:tcW w:w="2756" w:type="dxa"/>
            <w:tcBorders>
              <w:left w:val="nil"/>
              <w:bottom w:val="dotted" w:sz="4" w:space="0" w:color="auto"/>
              <w:right w:val="single" w:sz="4" w:space="0" w:color="auto"/>
            </w:tcBorders>
            <w:shd w:val="clear" w:color="auto" w:fill="auto"/>
            <w:vAlign w:val="center"/>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Voir tableau joint</w:t>
            </w:r>
          </w:p>
        </w:tc>
        <w:tc>
          <w:tcPr>
            <w:tcW w:w="3540" w:type="dxa"/>
            <w:tcBorders>
              <w:left w:val="nil"/>
              <w:bottom w:val="dotted" w:sz="4" w:space="0" w:color="auto"/>
              <w:right w:val="single" w:sz="4" w:space="0" w:color="auto"/>
            </w:tcBorders>
            <w:shd w:val="clear" w:color="auto" w:fill="auto"/>
            <w:vAlign w:val="center"/>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non admis en atténuation des coûts de l'étude</w:t>
            </w:r>
          </w:p>
        </w:tc>
      </w:tr>
      <w:tr w:rsidR="005F30E1" w:rsidTr="00306BB0">
        <w:trPr>
          <w:trHeight w:val="600"/>
        </w:trPr>
        <w:tc>
          <w:tcPr>
            <w:tcW w:w="3984"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 xml:space="preserve">        -ancien FIQCS</w:t>
            </w:r>
          </w:p>
        </w:tc>
        <w:tc>
          <w:tcPr>
            <w:tcW w:w="2756" w:type="dxa"/>
            <w:tcBorders>
              <w:top w:val="dotted" w:sz="4" w:space="0" w:color="auto"/>
              <w:left w:val="nil"/>
              <w:bottom w:val="dotted" w:sz="4" w:space="0" w:color="auto"/>
              <w:right w:val="single" w:sz="4" w:space="0" w:color="auto"/>
            </w:tcBorders>
            <w:shd w:val="clear" w:color="auto" w:fill="auto"/>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voir tableau joint</w:t>
            </w:r>
          </w:p>
        </w:tc>
        <w:tc>
          <w:tcPr>
            <w:tcW w:w="3540" w:type="dxa"/>
            <w:tcBorders>
              <w:top w:val="dotted" w:sz="4" w:space="0" w:color="auto"/>
              <w:left w:val="nil"/>
              <w:bottom w:val="dotted" w:sz="4" w:space="0" w:color="auto"/>
              <w:right w:val="single" w:sz="4" w:space="0" w:color="auto"/>
            </w:tcBorders>
            <w:shd w:val="clear" w:color="auto" w:fill="auto"/>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non admis en atténuation des coûts de l'étude</w:t>
            </w:r>
          </w:p>
        </w:tc>
      </w:tr>
      <w:tr w:rsidR="005F30E1" w:rsidTr="00306BB0">
        <w:trPr>
          <w:trHeight w:val="300"/>
        </w:trPr>
        <w:tc>
          <w:tcPr>
            <w:tcW w:w="3984"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 xml:space="preserve">        -ancien FMESPP</w:t>
            </w:r>
          </w:p>
        </w:tc>
        <w:tc>
          <w:tcPr>
            <w:tcW w:w="2756" w:type="dxa"/>
            <w:tcBorders>
              <w:top w:val="dotted" w:sz="4" w:space="0" w:color="auto"/>
              <w:left w:val="nil"/>
              <w:bottom w:val="dotted" w:sz="4" w:space="0" w:color="auto"/>
              <w:right w:val="single" w:sz="4" w:space="0" w:color="auto"/>
            </w:tcBorders>
            <w:shd w:val="clear" w:color="auto" w:fill="auto"/>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Dépend de l’activité financée : essentiellement en LGG et STR</w:t>
            </w:r>
          </w:p>
        </w:tc>
        <w:tc>
          <w:tcPr>
            <w:tcW w:w="3540" w:type="dxa"/>
            <w:tcBorders>
              <w:top w:val="dotted" w:sz="4" w:space="0" w:color="auto"/>
              <w:left w:val="nil"/>
              <w:bottom w:val="dotted" w:sz="4" w:space="0" w:color="auto"/>
              <w:right w:val="single" w:sz="4" w:space="0" w:color="auto"/>
            </w:tcBorders>
            <w:shd w:val="clear" w:color="auto" w:fill="auto"/>
            <w:vAlign w:val="center"/>
            <w:hideMark/>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non admis en atténuation des coûts de l'étude</w:t>
            </w:r>
          </w:p>
        </w:tc>
      </w:tr>
      <w:tr w:rsidR="005F30E1" w:rsidTr="00306BB0">
        <w:trPr>
          <w:trHeight w:val="300"/>
        </w:trPr>
        <w:tc>
          <w:tcPr>
            <w:tcW w:w="3984" w:type="dxa"/>
            <w:tcBorders>
              <w:top w:val="dotted" w:sz="4" w:space="0" w:color="auto"/>
              <w:left w:val="single" w:sz="4" w:space="0" w:color="auto"/>
              <w:bottom w:val="single" w:sz="4" w:space="0" w:color="auto"/>
              <w:right w:val="single" w:sz="4" w:space="0" w:color="auto"/>
            </w:tcBorders>
            <w:shd w:val="clear" w:color="auto" w:fill="auto"/>
            <w:noWrap/>
            <w:vAlign w:val="center"/>
          </w:tcPr>
          <w:p w:rsidR="005F30E1" w:rsidRPr="009615AB" w:rsidRDefault="005F30E1" w:rsidP="0071682F">
            <w:pPr>
              <w:ind w:firstLine="371"/>
              <w:rPr>
                <w:rFonts w:ascii="Calibri" w:hAnsi="Calibri" w:cs="Calibri"/>
                <w:color w:val="000000"/>
                <w:sz w:val="22"/>
                <w:szCs w:val="22"/>
              </w:rPr>
            </w:pPr>
            <w:r w:rsidRPr="009615AB">
              <w:rPr>
                <w:rFonts w:ascii="Calibri" w:hAnsi="Calibri" w:cs="Calibri"/>
                <w:color w:val="000000"/>
                <w:sz w:val="22"/>
                <w:szCs w:val="22"/>
              </w:rPr>
              <w:t xml:space="preserve">-FIR pour autres </w:t>
            </w:r>
          </w:p>
        </w:tc>
        <w:tc>
          <w:tcPr>
            <w:tcW w:w="2756" w:type="dxa"/>
            <w:tcBorders>
              <w:top w:val="dotted" w:sz="4" w:space="0" w:color="auto"/>
              <w:left w:val="nil"/>
              <w:bottom w:val="single" w:sz="4" w:space="0" w:color="auto"/>
              <w:right w:val="single" w:sz="4" w:space="0" w:color="auto"/>
            </w:tcBorders>
            <w:shd w:val="clear" w:color="auto" w:fill="auto"/>
            <w:vAlign w:val="center"/>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Dépend de l'activité financée</w:t>
            </w:r>
          </w:p>
        </w:tc>
        <w:tc>
          <w:tcPr>
            <w:tcW w:w="3540" w:type="dxa"/>
            <w:tcBorders>
              <w:top w:val="dotted" w:sz="4" w:space="0" w:color="auto"/>
              <w:left w:val="nil"/>
              <w:bottom w:val="single" w:sz="4" w:space="0" w:color="auto"/>
              <w:right w:val="single" w:sz="4" w:space="0" w:color="auto"/>
            </w:tcBorders>
            <w:shd w:val="clear" w:color="auto" w:fill="auto"/>
            <w:vAlign w:val="center"/>
          </w:tcPr>
          <w:p w:rsidR="005F30E1" w:rsidRPr="009615AB" w:rsidRDefault="005F30E1" w:rsidP="0071682F">
            <w:pPr>
              <w:rPr>
                <w:rFonts w:ascii="Calibri" w:hAnsi="Calibri" w:cs="Calibri"/>
                <w:color w:val="000000"/>
                <w:sz w:val="22"/>
                <w:szCs w:val="22"/>
              </w:rPr>
            </w:pPr>
            <w:r w:rsidRPr="009615AB">
              <w:rPr>
                <w:rFonts w:ascii="Calibri" w:hAnsi="Calibri" w:cs="Calibri"/>
                <w:color w:val="000000"/>
                <w:sz w:val="22"/>
                <w:szCs w:val="22"/>
              </w:rPr>
              <w:t>Dépend de l'activité financée</w:t>
            </w:r>
          </w:p>
        </w:tc>
      </w:tr>
      <w:tr w:rsidR="005F30E1" w:rsidTr="00306BB0">
        <w:trPr>
          <w:trHeight w:val="600"/>
        </w:trPr>
        <w:tc>
          <w:tcPr>
            <w:tcW w:w="3984" w:type="dxa"/>
            <w:tcBorders>
              <w:top w:val="nil"/>
              <w:left w:val="single" w:sz="4" w:space="0" w:color="auto"/>
              <w:bottom w:val="single" w:sz="4" w:space="0" w:color="auto"/>
              <w:right w:val="single" w:sz="4" w:space="0" w:color="auto"/>
            </w:tcBorders>
            <w:shd w:val="clear" w:color="auto" w:fill="auto"/>
            <w:noWrap/>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CNR</w:t>
            </w:r>
          </w:p>
        </w:tc>
        <w:tc>
          <w:tcPr>
            <w:tcW w:w="2756" w:type="dxa"/>
            <w:tcBorders>
              <w:top w:val="nil"/>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Dépend de l’activité financée</w:t>
            </w:r>
          </w:p>
        </w:tc>
        <w:tc>
          <w:tcPr>
            <w:tcW w:w="3540" w:type="dxa"/>
            <w:tcBorders>
              <w:top w:val="nil"/>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r w:rsidR="005F30E1" w:rsidTr="00306BB0">
        <w:trPr>
          <w:trHeight w:val="600"/>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Autres financements pour la recherche</w:t>
            </w:r>
          </w:p>
        </w:tc>
        <w:tc>
          <w:tcPr>
            <w:tcW w:w="2756" w:type="dxa"/>
            <w:tcBorders>
              <w:top w:val="nil"/>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voir tableau joint</w:t>
            </w:r>
          </w:p>
        </w:tc>
        <w:tc>
          <w:tcPr>
            <w:tcW w:w="3540" w:type="dxa"/>
            <w:tcBorders>
              <w:top w:val="nil"/>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r w:rsidR="005F30E1" w:rsidTr="00306BB0">
        <w:trPr>
          <w:trHeight w:val="1200"/>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Autres financements pour l'enseignement (si dans la comptabilité d'exploitation de l'étbt)</w:t>
            </w:r>
          </w:p>
        </w:tc>
        <w:tc>
          <w:tcPr>
            <w:tcW w:w="2756" w:type="dxa"/>
            <w:tcBorders>
              <w:top w:val="nil"/>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voir tableau joint</w:t>
            </w:r>
          </w:p>
        </w:tc>
        <w:tc>
          <w:tcPr>
            <w:tcW w:w="3540" w:type="dxa"/>
            <w:tcBorders>
              <w:top w:val="nil"/>
              <w:left w:val="nil"/>
              <w:bottom w:val="single" w:sz="4" w:space="0" w:color="auto"/>
              <w:right w:val="single" w:sz="4" w:space="0" w:color="auto"/>
            </w:tcBorders>
            <w:shd w:val="clear" w:color="auto" w:fill="auto"/>
            <w:vAlign w:val="center"/>
            <w:hideMark/>
          </w:tcPr>
          <w:p w:rsidR="005F30E1" w:rsidRDefault="005F30E1" w:rsidP="0071682F">
            <w:pPr>
              <w:rPr>
                <w:rFonts w:ascii="Calibri" w:hAnsi="Calibri" w:cs="Calibri"/>
                <w:color w:val="000000"/>
                <w:sz w:val="22"/>
                <w:szCs w:val="22"/>
              </w:rPr>
            </w:pPr>
            <w:r>
              <w:rPr>
                <w:rFonts w:ascii="Calibri" w:hAnsi="Calibri" w:cs="Calibri"/>
                <w:color w:val="000000"/>
                <w:sz w:val="22"/>
                <w:szCs w:val="22"/>
              </w:rPr>
              <w:t>non admis en atténuation des coûts de l'étude</w:t>
            </w:r>
          </w:p>
        </w:tc>
      </w:tr>
    </w:tbl>
    <w:p w:rsidR="005F30E1" w:rsidRDefault="005F30E1" w:rsidP="005F30E1"/>
    <w:p w:rsidR="005F30E1" w:rsidRPr="005F7329" w:rsidRDefault="005F30E1" w:rsidP="005F30E1"/>
    <w:p w:rsidR="005F30E1" w:rsidRPr="007F390A" w:rsidRDefault="005F30E1" w:rsidP="005F30E1">
      <w:pPr>
        <w:pStyle w:val="Titre1"/>
        <w:tabs>
          <w:tab w:val="num" w:pos="432"/>
        </w:tabs>
        <w:ind w:left="432" w:hanging="432"/>
        <w:rPr>
          <w:sz w:val="22"/>
        </w:rPr>
      </w:pPr>
      <w:bookmarkStart w:id="1" w:name="_Toc383513192"/>
      <w:r w:rsidRPr="007F390A">
        <w:rPr>
          <w:sz w:val="22"/>
        </w:rPr>
        <w:lastRenderedPageBreak/>
        <w:t>Point de vue Activités :</w:t>
      </w:r>
      <w:bookmarkEnd w:id="1"/>
    </w:p>
    <w:p w:rsidR="005F30E1" w:rsidRDefault="005F30E1" w:rsidP="005F30E1">
      <w:pPr>
        <w:spacing w:before="0" w:line="240" w:lineRule="auto"/>
        <w:rPr>
          <w:rFonts w:cs="Arial"/>
        </w:rPr>
      </w:pPr>
    </w:p>
    <w:p w:rsidR="005F30E1" w:rsidRPr="007F390A" w:rsidRDefault="005F30E1" w:rsidP="005F30E1">
      <w:pPr>
        <w:spacing w:before="0" w:line="240" w:lineRule="auto"/>
        <w:rPr>
          <w:rFonts w:cs="Arial"/>
        </w:rPr>
      </w:pPr>
      <w:r w:rsidRPr="007F390A">
        <w:rPr>
          <w:rFonts w:cs="Arial"/>
        </w:rPr>
        <w:t>Voir tableau joint</w:t>
      </w:r>
    </w:p>
    <w:p w:rsidR="005F30E1" w:rsidRDefault="005F30E1" w:rsidP="005F30E1">
      <w:pPr>
        <w:spacing w:before="0" w:line="240" w:lineRule="auto"/>
        <w:rPr>
          <w:rFonts w:cs="Arial"/>
        </w:rPr>
      </w:pPr>
    </w:p>
    <w:p w:rsidR="005F30E1" w:rsidRPr="007F390A" w:rsidRDefault="005F30E1" w:rsidP="005F30E1">
      <w:pPr>
        <w:spacing w:before="0" w:line="240" w:lineRule="auto"/>
        <w:rPr>
          <w:rFonts w:cs="Arial"/>
        </w:rPr>
      </w:pPr>
    </w:p>
    <w:p w:rsidR="005F30E1" w:rsidRPr="007F390A" w:rsidRDefault="005F30E1" w:rsidP="005F30E1">
      <w:pPr>
        <w:spacing w:before="0" w:line="240" w:lineRule="auto"/>
        <w:rPr>
          <w:rFonts w:cs="Arial"/>
        </w:rPr>
      </w:pPr>
      <w:r w:rsidRPr="007F390A">
        <w:rPr>
          <w:rFonts w:cs="Arial"/>
          <w:b/>
        </w:rPr>
        <w:t xml:space="preserve">1- Précision, MIG « autres » : </w:t>
      </w:r>
      <w:r w:rsidRPr="007F390A">
        <w:rPr>
          <w:rFonts w:cs="Arial"/>
        </w:rPr>
        <w:t>en principe, la catégorie « autre » n’est pas utilisée dans l’ENC. Il faut contacter le pôle ENC en cas de nécessité.</w:t>
      </w:r>
    </w:p>
    <w:p w:rsidR="005F30E1" w:rsidRDefault="005F30E1" w:rsidP="005F30E1">
      <w:pPr>
        <w:spacing w:before="0" w:line="240" w:lineRule="auto"/>
        <w:rPr>
          <w:rFonts w:cs="Arial"/>
          <w:b/>
          <w:bCs/>
        </w:rPr>
      </w:pPr>
    </w:p>
    <w:p w:rsidR="005F30E1" w:rsidRDefault="005F30E1" w:rsidP="005F30E1">
      <w:pPr>
        <w:spacing w:before="0" w:line="240" w:lineRule="auto"/>
        <w:rPr>
          <w:rFonts w:cs="Arial"/>
          <w:b/>
          <w:bCs/>
        </w:rPr>
      </w:pPr>
    </w:p>
    <w:p w:rsidR="005F30E1" w:rsidRPr="007F390A" w:rsidRDefault="005F30E1" w:rsidP="005F30E1">
      <w:pPr>
        <w:spacing w:before="0" w:line="240" w:lineRule="auto"/>
        <w:rPr>
          <w:rFonts w:cs="Arial"/>
          <w:b/>
          <w:bCs/>
        </w:rPr>
      </w:pPr>
      <w:r w:rsidRPr="007F390A">
        <w:rPr>
          <w:rFonts w:cs="Arial"/>
          <w:b/>
          <w:bCs/>
        </w:rPr>
        <w:t xml:space="preserve">2- Précision, la liste des MIG indiquées dans l’onglet ENC est celle de l’année de recueil des données. </w:t>
      </w:r>
    </w:p>
    <w:p w:rsidR="005F30E1" w:rsidRPr="007F390A" w:rsidRDefault="005F30E1" w:rsidP="005F30E1">
      <w:pPr>
        <w:spacing w:before="0" w:line="240" w:lineRule="auto"/>
        <w:rPr>
          <w:rFonts w:cs="Arial"/>
        </w:rPr>
      </w:pPr>
      <w:r w:rsidRPr="007F390A">
        <w:rPr>
          <w:rFonts w:cs="Arial"/>
        </w:rPr>
        <w:t>Exemple pour les données 2013 :</w:t>
      </w:r>
    </w:p>
    <w:p w:rsidR="005F30E1" w:rsidRPr="007F390A" w:rsidRDefault="005F30E1" w:rsidP="005F30E1">
      <w:pPr>
        <w:spacing w:before="0" w:line="240" w:lineRule="auto"/>
        <w:rPr>
          <w:rFonts w:cs="Arial"/>
        </w:rPr>
      </w:pPr>
      <w:r w:rsidRPr="007F390A">
        <w:rPr>
          <w:rFonts w:cs="Arial"/>
        </w:rPr>
        <w:t xml:space="preserve">Pour l’ENC, dans ARCAnH, nous mettons la liste des MIG 2013.Il s’agit donc d’identifier les charges des activités concernées consommées sur cette année-là. </w:t>
      </w:r>
    </w:p>
    <w:p w:rsidR="005F30E1" w:rsidRPr="007F390A" w:rsidRDefault="005F30E1" w:rsidP="005F30E1">
      <w:pPr>
        <w:spacing w:before="0" w:line="240" w:lineRule="auto"/>
        <w:rPr>
          <w:rFonts w:cs="Arial"/>
          <w:i/>
          <w:iCs/>
        </w:rPr>
      </w:pPr>
      <w:r w:rsidRPr="007F390A">
        <w:rPr>
          <w:rFonts w:cs="Arial"/>
          <w:i/>
          <w:iCs/>
        </w:rPr>
        <w:t>(Le financement de ces MIG n’interviendra qu’en 2014. Ainsi, au moment du remplissage de l’outil, l’établissement peut connaître le montant du financement. Cependant, dans le cadre de l’ENC, cette information n’est pas requise)</w:t>
      </w:r>
    </w:p>
    <w:p w:rsidR="005F30E1" w:rsidRDefault="005F30E1" w:rsidP="005F30E1">
      <w:pPr>
        <w:spacing w:before="0" w:line="240" w:lineRule="auto"/>
        <w:rPr>
          <w:rFonts w:cs="Arial"/>
        </w:rPr>
      </w:pPr>
    </w:p>
    <w:p w:rsidR="005F30E1" w:rsidRPr="007F390A" w:rsidRDefault="005F30E1" w:rsidP="005F30E1">
      <w:pPr>
        <w:spacing w:before="0" w:line="240" w:lineRule="auto"/>
        <w:rPr>
          <w:rFonts w:cs="Arial"/>
        </w:rPr>
      </w:pPr>
    </w:p>
    <w:p w:rsidR="005F30E1" w:rsidRPr="007F390A" w:rsidRDefault="005F30E1" w:rsidP="005F30E1">
      <w:pPr>
        <w:spacing w:before="0" w:line="240" w:lineRule="auto"/>
        <w:rPr>
          <w:rFonts w:cs="Arial"/>
        </w:rPr>
      </w:pPr>
      <w:r w:rsidRPr="007F390A">
        <w:rPr>
          <w:rFonts w:cs="Arial"/>
          <w:b/>
        </w:rPr>
        <w:t xml:space="preserve">3- Précision, sur les activités spécifiques SSR : </w:t>
      </w:r>
      <w:r w:rsidRPr="007F390A">
        <w:rPr>
          <w:rFonts w:cs="Arial"/>
        </w:rPr>
        <w:t>il n’existe pas de MIG en SSR</w:t>
      </w:r>
      <w:r w:rsidRPr="007F390A">
        <w:rPr>
          <w:rFonts w:cs="Arial"/>
          <w:b/>
        </w:rPr>
        <w:t xml:space="preserve"> : </w:t>
      </w:r>
      <w:r w:rsidRPr="007F390A">
        <w:rPr>
          <w:rFonts w:cs="Arial"/>
        </w:rPr>
        <w:t>ces activités doivent être isolées en « SSR » et non en MIG « autres ».</w:t>
      </w:r>
    </w:p>
    <w:p w:rsidR="005F30E1" w:rsidRDefault="005F30E1" w:rsidP="005F30E1">
      <w:pPr>
        <w:spacing w:before="0" w:line="240" w:lineRule="auto"/>
        <w:rPr>
          <w:rFonts w:cs="Arial"/>
          <w:b/>
        </w:rPr>
      </w:pPr>
    </w:p>
    <w:p w:rsidR="005F30E1" w:rsidRPr="007F390A" w:rsidRDefault="005F30E1" w:rsidP="005F30E1">
      <w:pPr>
        <w:spacing w:before="0" w:line="240" w:lineRule="auto"/>
        <w:rPr>
          <w:rFonts w:cs="Arial"/>
          <w:b/>
        </w:rPr>
      </w:pPr>
    </w:p>
    <w:p w:rsidR="005F30E1" w:rsidRPr="007F390A" w:rsidRDefault="005F30E1" w:rsidP="005F30E1">
      <w:pPr>
        <w:spacing w:before="0" w:line="240" w:lineRule="auto"/>
        <w:rPr>
          <w:rFonts w:cs="Arial"/>
        </w:rPr>
      </w:pPr>
      <w:r w:rsidRPr="007F390A">
        <w:rPr>
          <w:rFonts w:cs="Arial"/>
          <w:b/>
        </w:rPr>
        <w:t xml:space="preserve">4- Précision, Etablissements participant à l’ENC HAD : </w:t>
      </w:r>
      <w:r w:rsidRPr="007F390A">
        <w:rPr>
          <w:rFonts w:cs="Arial"/>
        </w:rPr>
        <w:t xml:space="preserve">seules les MIG liées à l’HAD doivent être identifiées. Les établissements multi-champs isolent dans une rubrique spécifique les MIG liées au champ MCO. </w:t>
      </w:r>
    </w:p>
    <w:p w:rsidR="005F30E1" w:rsidRDefault="005F30E1" w:rsidP="005F30E1">
      <w:pPr>
        <w:spacing w:before="0" w:line="240" w:lineRule="auto"/>
        <w:rPr>
          <w:rFonts w:cs="Arial"/>
        </w:rPr>
      </w:pPr>
    </w:p>
    <w:p w:rsidR="007E0677" w:rsidRDefault="007E0677" w:rsidP="00A66C31">
      <w:bookmarkStart w:id="2" w:name="_GoBack"/>
      <w:bookmarkEnd w:id="2"/>
    </w:p>
    <w:p w:rsidR="007E0677" w:rsidRDefault="007E0677" w:rsidP="00A66C31"/>
    <w:p w:rsidR="007E0677" w:rsidRPr="0029081C" w:rsidRDefault="007E0677" w:rsidP="00A66C31"/>
    <w:p w:rsidR="00A66C31" w:rsidRPr="0029081C" w:rsidRDefault="00A66C31" w:rsidP="00A66C31"/>
    <w:p w:rsidR="004872D7" w:rsidRPr="0029081C" w:rsidRDefault="004872D7" w:rsidP="00A66C31">
      <w:pPr>
        <w:tabs>
          <w:tab w:val="left" w:pos="3483"/>
        </w:tabs>
      </w:pPr>
    </w:p>
    <w:sectPr w:rsidR="004872D7" w:rsidRPr="0029081C" w:rsidSect="005C04B1">
      <w:headerReference w:type="default" r:id="rId12"/>
      <w:footerReference w:type="default" r:id="rId13"/>
      <w:footerReference w:type="first" r:id="rId14"/>
      <w:pgSz w:w="11906" w:h="16838"/>
      <w:pgMar w:top="1418" w:right="1418" w:bottom="1134"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0E1" w:rsidRDefault="005F30E1" w:rsidP="0011140B">
      <w:r>
        <w:separator/>
      </w:r>
    </w:p>
  </w:endnote>
  <w:endnote w:type="continuationSeparator" w:id="0">
    <w:p w:rsidR="005F30E1" w:rsidRDefault="005F30E1" w:rsidP="0011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BA7" w:rsidRDefault="00527BA7" w:rsidP="0080288A">
    <w:pPr>
      <w:pStyle w:val="Pieddepage"/>
      <w:ind w:left="-993"/>
    </w:pPr>
    <w:r>
      <w:rPr>
        <w:noProof/>
      </w:rPr>
      <w:drawing>
        <wp:inline distT="0" distB="0" distL="0" distR="0" wp14:anchorId="350DD3AF" wp14:editId="6E7EC187">
          <wp:extent cx="1685925" cy="714375"/>
          <wp:effectExtent l="0" t="0" r="9525" b="9525"/>
          <wp:docPr id="26" name="Image 26" descr="C:\Documents and Settings\sjoullie\Bureau\En-tete Atih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sjoullie\Bureau\En-tete Atih2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714375"/>
                  </a:xfrm>
                  <a:prstGeom prst="rect">
                    <a:avLst/>
                  </a:prstGeom>
                  <a:noFill/>
                  <a:ln>
                    <a:noFill/>
                  </a:ln>
                </pic:spPr>
              </pic:pic>
            </a:graphicData>
          </a:graphic>
        </wp:inline>
      </w:drawing>
    </w:r>
    <w:r>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201119"/>
      <w:docPartObj>
        <w:docPartGallery w:val="Page Numbers (Bottom of Page)"/>
        <w:docPartUnique/>
      </w:docPartObj>
    </w:sdtPr>
    <w:sdtEndPr/>
    <w:sdtContent>
      <w:sdt>
        <w:sdtPr>
          <w:id w:val="-640186664"/>
          <w:docPartObj>
            <w:docPartGallery w:val="Page Numbers (Top of Page)"/>
            <w:docPartUnique/>
          </w:docPartObj>
        </w:sdtPr>
        <w:sdtEndPr/>
        <w:sdtContent>
          <w:p w:rsidR="00527BA7" w:rsidRPr="004872D7" w:rsidRDefault="00527BA7" w:rsidP="0072569D">
            <w:pPr>
              <w:pStyle w:val="Pieddepage"/>
              <w:tabs>
                <w:tab w:val="clear" w:pos="9072"/>
                <w:tab w:val="left" w:pos="201"/>
                <w:tab w:val="right" w:pos="9779"/>
              </w:tabs>
              <w:spacing w:before="240"/>
              <w:ind w:left="-709" w:right="-709"/>
              <w:jc w:val="left"/>
              <w:rPr>
                <w:b/>
                <w:bCs/>
                <w:sz w:val="16"/>
                <w:szCs w:val="16"/>
              </w:rPr>
            </w:pPr>
            <w:r>
              <w:tab/>
            </w:r>
            <w:r>
              <w:tab/>
            </w:r>
            <w:r>
              <w:tab/>
              <w:t xml:space="preserve"> </w:t>
            </w:r>
          </w:p>
          <w:p w:rsidR="00527BA7" w:rsidRPr="004872D7" w:rsidRDefault="00527BA7" w:rsidP="0072569D">
            <w:pPr>
              <w:pStyle w:val="Sous-titre"/>
              <w:ind w:left="-993" w:right="-2"/>
              <w:jc w:val="both"/>
              <w:rPr>
                <w:b w:val="0"/>
                <w:sz w:val="16"/>
                <w:szCs w:val="16"/>
              </w:rPr>
            </w:pPr>
            <w:r w:rsidRPr="004872D7">
              <w:rPr>
                <w:b w:val="0"/>
                <w:bCs/>
                <w:sz w:val="16"/>
                <w:szCs w:val="16"/>
              </w:rPr>
              <w:t xml:space="preserve">Note </w:t>
            </w:r>
            <w:r>
              <w:rPr>
                <w:b w:val="0"/>
                <w:bCs/>
                <w:sz w:val="16"/>
                <w:szCs w:val="16"/>
              </w:rPr>
              <w:t xml:space="preserve">sur la gestion des </w:t>
            </w:r>
            <w:r w:rsidR="005F30E1">
              <w:rPr>
                <w:b w:val="0"/>
                <w:bCs/>
                <w:sz w:val="16"/>
                <w:szCs w:val="16"/>
              </w:rPr>
              <w:t>MIG et autres</w:t>
            </w:r>
            <w:r>
              <w:rPr>
                <w:b w:val="0"/>
                <w:bCs/>
                <w:sz w:val="16"/>
                <w:szCs w:val="16"/>
              </w:rPr>
              <w:t xml:space="preserve"> dans l’ENC</w:t>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Pr>
                <w:b w:val="0"/>
                <w:sz w:val="16"/>
                <w:szCs w:val="16"/>
              </w:rPr>
              <w:tab/>
            </w:r>
            <w:r w:rsidRPr="0072569D">
              <w:rPr>
                <w:b w:val="0"/>
                <w:bCs/>
                <w:sz w:val="16"/>
                <w:szCs w:val="16"/>
              </w:rPr>
              <w:fldChar w:fldCharType="begin"/>
            </w:r>
            <w:r w:rsidRPr="0072569D">
              <w:rPr>
                <w:b w:val="0"/>
                <w:bCs/>
                <w:sz w:val="16"/>
                <w:szCs w:val="16"/>
              </w:rPr>
              <w:instrText>PAGE</w:instrText>
            </w:r>
            <w:r w:rsidRPr="0072569D">
              <w:rPr>
                <w:b w:val="0"/>
                <w:bCs/>
                <w:sz w:val="16"/>
                <w:szCs w:val="16"/>
              </w:rPr>
              <w:fldChar w:fldCharType="separate"/>
            </w:r>
            <w:r w:rsidR="009615AB">
              <w:rPr>
                <w:b w:val="0"/>
                <w:bCs/>
                <w:noProof/>
                <w:sz w:val="16"/>
                <w:szCs w:val="16"/>
              </w:rPr>
              <w:t>3</w:t>
            </w:r>
            <w:r w:rsidRPr="0072569D">
              <w:rPr>
                <w:b w:val="0"/>
                <w:bCs/>
                <w:sz w:val="16"/>
                <w:szCs w:val="16"/>
              </w:rPr>
              <w:fldChar w:fldCharType="end"/>
            </w:r>
            <w:r w:rsidRPr="0072569D">
              <w:rPr>
                <w:b w:val="0"/>
                <w:sz w:val="16"/>
                <w:szCs w:val="16"/>
              </w:rPr>
              <w:t xml:space="preserve"> / </w:t>
            </w:r>
            <w:r w:rsidRPr="0072569D">
              <w:rPr>
                <w:b w:val="0"/>
                <w:bCs/>
                <w:sz w:val="16"/>
                <w:szCs w:val="16"/>
              </w:rPr>
              <w:fldChar w:fldCharType="begin"/>
            </w:r>
            <w:r w:rsidRPr="0072569D">
              <w:rPr>
                <w:b w:val="0"/>
                <w:bCs/>
                <w:sz w:val="16"/>
                <w:szCs w:val="16"/>
              </w:rPr>
              <w:instrText>NUMPAGES</w:instrText>
            </w:r>
            <w:r w:rsidRPr="0072569D">
              <w:rPr>
                <w:b w:val="0"/>
                <w:bCs/>
                <w:sz w:val="16"/>
                <w:szCs w:val="16"/>
              </w:rPr>
              <w:fldChar w:fldCharType="separate"/>
            </w:r>
            <w:r w:rsidR="009615AB">
              <w:rPr>
                <w:b w:val="0"/>
                <w:bCs/>
                <w:noProof/>
                <w:sz w:val="16"/>
                <w:szCs w:val="16"/>
              </w:rPr>
              <w:t>3</w:t>
            </w:r>
            <w:r w:rsidRPr="0072569D">
              <w:rPr>
                <w:b w:val="0"/>
                <w:bCs/>
                <w:sz w:val="16"/>
                <w:szCs w:val="16"/>
              </w:rPr>
              <w:fldChar w:fldCharType="end"/>
            </w:r>
          </w:p>
          <w:p w:rsidR="00527BA7" w:rsidRDefault="009615AB" w:rsidP="00B04530">
            <w:pPr>
              <w:pStyle w:val="Pieddepage"/>
              <w:tabs>
                <w:tab w:val="clear" w:pos="9072"/>
              </w:tabs>
              <w:ind w:left="-709" w:right="-711"/>
              <w:jc w:val="left"/>
            </w:pPr>
          </w:p>
        </w:sdtContent>
      </w:sdt>
    </w:sdtContent>
  </w:sdt>
  <w:p w:rsidR="00527BA7" w:rsidRDefault="00527BA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975145"/>
      <w:docPartObj>
        <w:docPartGallery w:val="Page Numbers (Bottom of Page)"/>
        <w:docPartUnique/>
      </w:docPartObj>
    </w:sdtPr>
    <w:sdtEndPr/>
    <w:sdtContent>
      <w:sdt>
        <w:sdtPr>
          <w:id w:val="2009022570"/>
          <w:docPartObj>
            <w:docPartGallery w:val="Page Numbers (Top of Page)"/>
            <w:docPartUnique/>
          </w:docPartObj>
        </w:sdtPr>
        <w:sdtEndPr/>
        <w:sdtContent>
          <w:p w:rsidR="00527BA7" w:rsidRDefault="00527BA7" w:rsidP="00B04530">
            <w:pPr>
              <w:pStyle w:val="Pieddepage"/>
              <w:tabs>
                <w:tab w:val="clear" w:pos="9072"/>
              </w:tabs>
              <w:ind w:left="-709" w:right="-711"/>
              <w:jc w:val="right"/>
              <w:rPr>
                <w:b/>
                <w:bCs/>
                <w:sz w:val="24"/>
                <w:szCs w:val="24"/>
              </w:rPr>
            </w:pPr>
            <w:r>
              <w:rPr>
                <w:noProof/>
                <w:u w:val="single"/>
              </w:rPr>
              <mc:AlternateContent>
                <mc:Choice Requires="wps">
                  <w:drawing>
                    <wp:anchor distT="0" distB="0" distL="114300" distR="114300" simplePos="0" relativeHeight="251698176" behindDoc="0" locked="0" layoutInCell="1" allowOverlap="1" wp14:anchorId="666D69D3" wp14:editId="0E81B46C">
                      <wp:simplePos x="0" y="0"/>
                      <wp:positionH relativeFrom="column">
                        <wp:posOffset>-438947</wp:posOffset>
                      </wp:positionH>
                      <wp:positionV relativeFrom="paragraph">
                        <wp:posOffset>187325</wp:posOffset>
                      </wp:positionV>
                      <wp:extent cx="1459865" cy="0"/>
                      <wp:effectExtent l="0" t="19050" r="6985" b="19050"/>
                      <wp:wrapNone/>
                      <wp:docPr id="28" name="Connecteur droit 28"/>
                      <wp:cNvGraphicFramePr/>
                      <a:graphic xmlns:a="http://schemas.openxmlformats.org/drawingml/2006/main">
                        <a:graphicData uri="http://schemas.microsoft.com/office/word/2010/wordprocessingShape">
                          <wps:wsp>
                            <wps:cNvCnPr/>
                            <wps:spPr>
                              <a:xfrm>
                                <a:off x="0" y="0"/>
                                <a:ext cx="1459865" cy="0"/>
                              </a:xfrm>
                              <a:prstGeom prst="line">
                                <a:avLst/>
                              </a:prstGeom>
                              <a:ln w="38100">
                                <a:solidFill>
                                  <a:srgbClr val="514B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2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pt,14.75pt" to="80.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" strokecolor="#514b64" strokeweight="3pt"/>
                  </w:pict>
                </mc:Fallback>
              </mc:AlternateContent>
            </w:r>
            <w:r>
              <w:t xml:space="preserve"> </w:t>
            </w:r>
            <w:r>
              <w:rPr>
                <w:b/>
                <w:bCs/>
                <w:sz w:val="24"/>
                <w:szCs w:val="24"/>
              </w:rPr>
              <w:fldChar w:fldCharType="begin"/>
            </w:r>
            <w:r>
              <w:rPr>
                <w:b/>
                <w:bCs/>
              </w:rPr>
              <w:instrText>PAGE</w:instrText>
            </w:r>
            <w:r>
              <w:rPr>
                <w:b/>
                <w:bCs/>
                <w:sz w:val="24"/>
                <w:szCs w:val="24"/>
              </w:rPr>
              <w:fldChar w:fldCharType="separate"/>
            </w:r>
            <w:r>
              <w:rPr>
                <w:b/>
                <w:bCs/>
              </w:rPr>
              <w:t>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D33B1">
              <w:rPr>
                <w:b/>
                <w:bCs/>
                <w:noProof/>
              </w:rPr>
              <w:t>3</w:t>
            </w:r>
            <w:r>
              <w:rPr>
                <w:b/>
                <w:bCs/>
                <w:sz w:val="24"/>
                <w:szCs w:val="24"/>
              </w:rPr>
              <w:fldChar w:fldCharType="end"/>
            </w:r>
          </w:p>
          <w:p w:rsidR="00527BA7" w:rsidRDefault="00527BA7" w:rsidP="00B04530">
            <w:pPr>
              <w:pStyle w:val="Pieddepage"/>
              <w:tabs>
                <w:tab w:val="clear" w:pos="9072"/>
              </w:tabs>
              <w:ind w:left="-709" w:right="-711"/>
              <w:jc w:val="left"/>
            </w:pPr>
            <w:r>
              <w:rPr>
                <w:bCs/>
                <w:sz w:val="16"/>
                <w:szCs w:val="16"/>
              </w:rPr>
              <w:t>Convention de subvention avec l’IRDES</w:t>
            </w:r>
          </w:p>
        </w:sdtContent>
      </w:sdt>
    </w:sdtContent>
  </w:sdt>
  <w:p w:rsidR="00527BA7" w:rsidRPr="00B04530" w:rsidRDefault="00527BA7" w:rsidP="00B045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0E1" w:rsidRDefault="005F30E1" w:rsidP="0011140B">
      <w:r>
        <w:separator/>
      </w:r>
    </w:p>
  </w:footnote>
  <w:footnote w:type="continuationSeparator" w:id="0">
    <w:p w:rsidR="005F30E1" w:rsidRDefault="005F30E1" w:rsidP="00111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BA7" w:rsidRDefault="00527BA7" w:rsidP="0011140B">
    <w:pPr>
      <w:pStyle w:val="En-tte"/>
    </w:pPr>
    <w:r>
      <w:rPr>
        <w:noProof/>
      </w:rPr>
      <w:drawing>
        <wp:anchor distT="0" distB="0" distL="114300" distR="114300" simplePos="0" relativeHeight="251667456" behindDoc="0" locked="0" layoutInCell="1" allowOverlap="1" wp14:anchorId="3A97714E" wp14:editId="5EE29227">
          <wp:simplePos x="0" y="0"/>
          <wp:positionH relativeFrom="column">
            <wp:posOffset>-620395</wp:posOffset>
          </wp:positionH>
          <wp:positionV relativeFrom="paragraph">
            <wp:posOffset>141605</wp:posOffset>
          </wp:positionV>
          <wp:extent cx="1371600" cy="1118870"/>
          <wp:effectExtent l="0" t="0" r="0" b="0"/>
          <wp:wrapTopAndBottom/>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118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27BA7" w:rsidRPr="00C70F7B" w:rsidRDefault="00527BA7" w:rsidP="0011140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BA7" w:rsidRPr="00AF0301" w:rsidRDefault="00527BA7" w:rsidP="0011140B">
    <w:pPr>
      <w:pStyle w:val="En-tte"/>
    </w:pPr>
    <w:r>
      <w:rPr>
        <w:noProof/>
      </w:rPr>
      <w:drawing>
        <wp:anchor distT="0" distB="0" distL="114300" distR="114300" simplePos="0" relativeHeight="251685888" behindDoc="0" locked="0" layoutInCell="1" allowOverlap="1" wp14:anchorId="0FD359E6" wp14:editId="3A2C77CA">
          <wp:simplePos x="0" y="0"/>
          <wp:positionH relativeFrom="column">
            <wp:posOffset>-610870</wp:posOffset>
          </wp:positionH>
          <wp:positionV relativeFrom="paragraph">
            <wp:posOffset>1270</wp:posOffset>
          </wp:positionV>
          <wp:extent cx="798830" cy="651510"/>
          <wp:effectExtent l="0" t="0" r="1270" b="0"/>
          <wp:wrapTopAndBottom/>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515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BA7" w:rsidRPr="00AF0301" w:rsidRDefault="00527BA7" w:rsidP="0011140B">
    <w:pPr>
      <w:pStyle w:val="En-tte"/>
    </w:pPr>
    <w:r>
      <w:rPr>
        <w:noProof/>
      </w:rPr>
      <w:drawing>
        <wp:anchor distT="0" distB="0" distL="114300" distR="114300" simplePos="0" relativeHeight="251687936" behindDoc="0" locked="0" layoutInCell="1" allowOverlap="1" wp14:anchorId="0B1D7ADF" wp14:editId="04FF7357">
          <wp:simplePos x="0" y="0"/>
          <wp:positionH relativeFrom="column">
            <wp:posOffset>-610870</wp:posOffset>
          </wp:positionH>
          <wp:positionV relativeFrom="paragraph">
            <wp:posOffset>1270</wp:posOffset>
          </wp:positionV>
          <wp:extent cx="798830" cy="651510"/>
          <wp:effectExtent l="0" t="0" r="1270" b="0"/>
          <wp:wrapTopAndBottom/>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515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27BA7" w:rsidRPr="002864FB" w:rsidRDefault="00527BA7" w:rsidP="0011140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073"/>
    <w:multiLevelType w:val="hybridMultilevel"/>
    <w:tmpl w:val="69DA608E"/>
    <w:lvl w:ilvl="0" w:tplc="BC2A31F4">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8F962F7"/>
    <w:multiLevelType w:val="multilevel"/>
    <w:tmpl w:val="6EEE1198"/>
    <w:lvl w:ilvl="0">
      <w:start w:val="1"/>
      <w:numFmt w:val="upperRoman"/>
      <w:pStyle w:val="Titre1"/>
      <w:lvlText w:val="%1."/>
      <w:lvlJc w:val="right"/>
      <w:pPr>
        <w:tabs>
          <w:tab w:val="num" w:pos="432"/>
        </w:tabs>
        <w:ind w:left="432" w:hanging="432"/>
      </w:pPr>
      <w:rPr>
        <w:rFonts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EAE618C"/>
    <w:multiLevelType w:val="hybridMultilevel"/>
    <w:tmpl w:val="ED101C5A"/>
    <w:lvl w:ilvl="0" w:tplc="040C000D">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3">
    <w:nsid w:val="15C30DCF"/>
    <w:multiLevelType w:val="hybridMultilevel"/>
    <w:tmpl w:val="D56C411A"/>
    <w:lvl w:ilvl="0" w:tplc="A5949FA4">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nsid w:val="19F27FA2"/>
    <w:multiLevelType w:val="hybridMultilevel"/>
    <w:tmpl w:val="DB9CADD0"/>
    <w:lvl w:ilvl="0" w:tplc="4B9E51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F1D3A2D"/>
    <w:multiLevelType w:val="hybridMultilevel"/>
    <w:tmpl w:val="A75E2BA4"/>
    <w:lvl w:ilvl="0" w:tplc="3DC41096">
      <w:start w:val="1"/>
      <w:numFmt w:val="lowerRoman"/>
      <w:lvlText w:val="(%1)"/>
      <w:lvlJc w:val="left"/>
      <w:pPr>
        <w:ind w:left="1854" w:hanging="72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6">
    <w:nsid w:val="2F517607"/>
    <w:multiLevelType w:val="hybridMultilevel"/>
    <w:tmpl w:val="B4E2D61C"/>
    <w:lvl w:ilvl="0" w:tplc="23E0D2FC">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7">
    <w:nsid w:val="3C6656EA"/>
    <w:multiLevelType w:val="hybridMultilevel"/>
    <w:tmpl w:val="D2DA9784"/>
    <w:lvl w:ilvl="0" w:tplc="54D4B35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D034F64"/>
    <w:multiLevelType w:val="multilevel"/>
    <w:tmpl w:val="01F2EC54"/>
    <w:lvl w:ilvl="0">
      <w:start w:val="1"/>
      <w:numFmt w:val="decimal"/>
      <w:lvlText w:val="%1."/>
      <w:lvlJc w:val="left"/>
      <w:pPr>
        <w:tabs>
          <w:tab w:val="num" w:pos="432"/>
        </w:tabs>
        <w:ind w:left="432" w:hanging="432"/>
      </w:pPr>
      <w:rPr>
        <w:rFonts w:cs="Times New Roman" w:hint="default"/>
        <w:b/>
      </w:rPr>
    </w:lvl>
    <w:lvl w:ilvl="1">
      <w:start w:val="1"/>
      <w:numFmt w:val="decimal"/>
      <w:pStyle w:val="Titre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37C307D"/>
    <w:multiLevelType w:val="hybridMultilevel"/>
    <w:tmpl w:val="D200CFB0"/>
    <w:lvl w:ilvl="0" w:tplc="4B0EBD54">
      <w:start w:val="1"/>
      <w:numFmt w:val="decimal"/>
      <w:lvlText w:val="%1."/>
      <w:lvlJc w:val="right"/>
      <w:pPr>
        <w:ind w:left="1854" w:hanging="72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10">
    <w:nsid w:val="5850322D"/>
    <w:multiLevelType w:val="hybridMultilevel"/>
    <w:tmpl w:val="32263EAA"/>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8D2494B"/>
    <w:multiLevelType w:val="hybridMultilevel"/>
    <w:tmpl w:val="229C4618"/>
    <w:lvl w:ilvl="0" w:tplc="4B0EBD54">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38072C6"/>
    <w:multiLevelType w:val="hybridMultilevel"/>
    <w:tmpl w:val="C65652C2"/>
    <w:lvl w:ilvl="0" w:tplc="75CC9C7E">
      <w:start w:val="1"/>
      <w:numFmt w:val="lowerLetter"/>
      <w:pStyle w:val="Titre4"/>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0D31950"/>
    <w:multiLevelType w:val="hybridMultilevel"/>
    <w:tmpl w:val="6EE81DE0"/>
    <w:lvl w:ilvl="0" w:tplc="040C000B">
      <w:start w:val="1"/>
      <w:numFmt w:val="bullet"/>
      <w:lvlText w:val=""/>
      <w:lvlJc w:val="left"/>
      <w:pPr>
        <w:tabs>
          <w:tab w:val="num" w:pos="700"/>
        </w:tabs>
        <w:ind w:left="70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CD54F2C"/>
    <w:multiLevelType w:val="hybridMultilevel"/>
    <w:tmpl w:val="DE864C0C"/>
    <w:lvl w:ilvl="0" w:tplc="BC2A31F4">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num w:numId="1">
    <w:abstractNumId w:val="13"/>
  </w:num>
  <w:num w:numId="2">
    <w:abstractNumId w:val="1"/>
  </w:num>
  <w:num w:numId="3">
    <w:abstractNumId w:val="8"/>
  </w:num>
  <w:num w:numId="4">
    <w:abstractNumId w:val="11"/>
  </w:num>
  <w:num w:numId="5">
    <w:abstractNumId w:val="10"/>
  </w:num>
  <w:num w:numId="6">
    <w:abstractNumId w:val="12"/>
  </w:num>
  <w:num w:numId="7">
    <w:abstractNumId w:val="5"/>
  </w:num>
  <w:num w:numId="8">
    <w:abstractNumId w:val="9"/>
  </w:num>
  <w:num w:numId="9">
    <w:abstractNumId w:val="14"/>
  </w:num>
  <w:num w:numId="10">
    <w:abstractNumId w:val="6"/>
  </w:num>
  <w:num w:numId="11">
    <w:abstractNumId w:val="0"/>
  </w:num>
  <w:num w:numId="12">
    <w:abstractNumId w:val="2"/>
  </w:num>
  <w:num w:numId="13">
    <w:abstractNumId w:val="3"/>
  </w:num>
  <w:num w:numId="14">
    <w:abstractNumId w:val="4"/>
  </w:num>
  <w:num w:numId="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D9"/>
    <w:rsid w:val="000047C8"/>
    <w:rsid w:val="00007F28"/>
    <w:rsid w:val="000115D5"/>
    <w:rsid w:val="00014CD5"/>
    <w:rsid w:val="00017615"/>
    <w:rsid w:val="00020247"/>
    <w:rsid w:val="0002095F"/>
    <w:rsid w:val="00023653"/>
    <w:rsid w:val="000265EF"/>
    <w:rsid w:val="00031AF4"/>
    <w:rsid w:val="0003383D"/>
    <w:rsid w:val="00033D21"/>
    <w:rsid w:val="000403E7"/>
    <w:rsid w:val="00040D40"/>
    <w:rsid w:val="00044A2E"/>
    <w:rsid w:val="00050279"/>
    <w:rsid w:val="00052C25"/>
    <w:rsid w:val="0005557B"/>
    <w:rsid w:val="00061E03"/>
    <w:rsid w:val="00063453"/>
    <w:rsid w:val="000744E9"/>
    <w:rsid w:val="00074575"/>
    <w:rsid w:val="00076B8D"/>
    <w:rsid w:val="0008173F"/>
    <w:rsid w:val="00083099"/>
    <w:rsid w:val="0008495B"/>
    <w:rsid w:val="00085197"/>
    <w:rsid w:val="00085B19"/>
    <w:rsid w:val="00092B5A"/>
    <w:rsid w:val="000A5AC3"/>
    <w:rsid w:val="000A6781"/>
    <w:rsid w:val="000B2091"/>
    <w:rsid w:val="000B5E55"/>
    <w:rsid w:val="000C0019"/>
    <w:rsid w:val="000D4CE1"/>
    <w:rsid w:val="000D63AB"/>
    <w:rsid w:val="000E1F22"/>
    <w:rsid w:val="000E4DC5"/>
    <w:rsid w:val="00102DBC"/>
    <w:rsid w:val="00103586"/>
    <w:rsid w:val="001053BC"/>
    <w:rsid w:val="0011140B"/>
    <w:rsid w:val="00117225"/>
    <w:rsid w:val="00123A04"/>
    <w:rsid w:val="001340FB"/>
    <w:rsid w:val="00137E73"/>
    <w:rsid w:val="00142733"/>
    <w:rsid w:val="0014548D"/>
    <w:rsid w:val="001604D3"/>
    <w:rsid w:val="00163729"/>
    <w:rsid w:val="00166370"/>
    <w:rsid w:val="0017437A"/>
    <w:rsid w:val="0018253B"/>
    <w:rsid w:val="001B04D9"/>
    <w:rsid w:val="001B24FA"/>
    <w:rsid w:val="001B6EAF"/>
    <w:rsid w:val="001D317E"/>
    <w:rsid w:val="001D53EF"/>
    <w:rsid w:val="001D75A8"/>
    <w:rsid w:val="001E0968"/>
    <w:rsid w:val="001E34DD"/>
    <w:rsid w:val="001E7526"/>
    <w:rsid w:val="00203DFB"/>
    <w:rsid w:val="002052C9"/>
    <w:rsid w:val="002052D3"/>
    <w:rsid w:val="002062BC"/>
    <w:rsid w:val="00210EBC"/>
    <w:rsid w:val="00216B9D"/>
    <w:rsid w:val="00217827"/>
    <w:rsid w:val="002230DB"/>
    <w:rsid w:val="00226C45"/>
    <w:rsid w:val="0022749E"/>
    <w:rsid w:val="00240970"/>
    <w:rsid w:val="0024142B"/>
    <w:rsid w:val="0024525C"/>
    <w:rsid w:val="00245931"/>
    <w:rsid w:val="0024648A"/>
    <w:rsid w:val="002500CA"/>
    <w:rsid w:val="00253474"/>
    <w:rsid w:val="00263306"/>
    <w:rsid w:val="00270781"/>
    <w:rsid w:val="002864FB"/>
    <w:rsid w:val="0029081C"/>
    <w:rsid w:val="00290F14"/>
    <w:rsid w:val="00291F5A"/>
    <w:rsid w:val="00292AD4"/>
    <w:rsid w:val="002A12D4"/>
    <w:rsid w:val="002A3199"/>
    <w:rsid w:val="002A3862"/>
    <w:rsid w:val="002A53A3"/>
    <w:rsid w:val="002A5B96"/>
    <w:rsid w:val="002A653B"/>
    <w:rsid w:val="002B2531"/>
    <w:rsid w:val="002C7DDB"/>
    <w:rsid w:val="002D0C76"/>
    <w:rsid w:val="002D2854"/>
    <w:rsid w:val="002E0CD7"/>
    <w:rsid w:val="002F0DF2"/>
    <w:rsid w:val="002F0F90"/>
    <w:rsid w:val="002F2CE6"/>
    <w:rsid w:val="002F585D"/>
    <w:rsid w:val="00302B48"/>
    <w:rsid w:val="00303D1C"/>
    <w:rsid w:val="00306BB0"/>
    <w:rsid w:val="00307611"/>
    <w:rsid w:val="003116D3"/>
    <w:rsid w:val="0032070B"/>
    <w:rsid w:val="0032704D"/>
    <w:rsid w:val="00333402"/>
    <w:rsid w:val="00337F31"/>
    <w:rsid w:val="0034048D"/>
    <w:rsid w:val="00341125"/>
    <w:rsid w:val="00341726"/>
    <w:rsid w:val="003654F3"/>
    <w:rsid w:val="00383F58"/>
    <w:rsid w:val="00384648"/>
    <w:rsid w:val="00385DC0"/>
    <w:rsid w:val="003922E8"/>
    <w:rsid w:val="003935C4"/>
    <w:rsid w:val="003957B5"/>
    <w:rsid w:val="00397506"/>
    <w:rsid w:val="003A15F6"/>
    <w:rsid w:val="003B6310"/>
    <w:rsid w:val="003C42C2"/>
    <w:rsid w:val="003D28C0"/>
    <w:rsid w:val="003D2F53"/>
    <w:rsid w:val="003D4008"/>
    <w:rsid w:val="003D6028"/>
    <w:rsid w:val="003D6F90"/>
    <w:rsid w:val="003E4EA0"/>
    <w:rsid w:val="003F063F"/>
    <w:rsid w:val="003F0928"/>
    <w:rsid w:val="003F74BB"/>
    <w:rsid w:val="00402497"/>
    <w:rsid w:val="004166F3"/>
    <w:rsid w:val="00420F1A"/>
    <w:rsid w:val="00421F29"/>
    <w:rsid w:val="00425159"/>
    <w:rsid w:val="004276BF"/>
    <w:rsid w:val="004442C3"/>
    <w:rsid w:val="00446DBC"/>
    <w:rsid w:val="00452DE6"/>
    <w:rsid w:val="004546F2"/>
    <w:rsid w:val="00456849"/>
    <w:rsid w:val="0046192C"/>
    <w:rsid w:val="00470632"/>
    <w:rsid w:val="004856DE"/>
    <w:rsid w:val="004872D7"/>
    <w:rsid w:val="00490CD6"/>
    <w:rsid w:val="004B35FD"/>
    <w:rsid w:val="004B4BBB"/>
    <w:rsid w:val="004C7EEE"/>
    <w:rsid w:val="004D00A2"/>
    <w:rsid w:val="004E11DC"/>
    <w:rsid w:val="004E14AF"/>
    <w:rsid w:val="004E7125"/>
    <w:rsid w:val="004E7FEF"/>
    <w:rsid w:val="004F24FB"/>
    <w:rsid w:val="004F538D"/>
    <w:rsid w:val="005032D7"/>
    <w:rsid w:val="00515BEB"/>
    <w:rsid w:val="005178D8"/>
    <w:rsid w:val="00517917"/>
    <w:rsid w:val="00527BA7"/>
    <w:rsid w:val="00540358"/>
    <w:rsid w:val="00551775"/>
    <w:rsid w:val="00563744"/>
    <w:rsid w:val="00571330"/>
    <w:rsid w:val="00580E90"/>
    <w:rsid w:val="00581293"/>
    <w:rsid w:val="00585DF9"/>
    <w:rsid w:val="00587186"/>
    <w:rsid w:val="00594375"/>
    <w:rsid w:val="005B0D96"/>
    <w:rsid w:val="005B13A0"/>
    <w:rsid w:val="005B1F91"/>
    <w:rsid w:val="005B336D"/>
    <w:rsid w:val="005B35BD"/>
    <w:rsid w:val="005B35D6"/>
    <w:rsid w:val="005B3F29"/>
    <w:rsid w:val="005B42FE"/>
    <w:rsid w:val="005B5123"/>
    <w:rsid w:val="005B6F6C"/>
    <w:rsid w:val="005C04B1"/>
    <w:rsid w:val="005C34BF"/>
    <w:rsid w:val="005C37A2"/>
    <w:rsid w:val="005D2226"/>
    <w:rsid w:val="005E411F"/>
    <w:rsid w:val="005F30E1"/>
    <w:rsid w:val="00600E74"/>
    <w:rsid w:val="0060373D"/>
    <w:rsid w:val="006146F4"/>
    <w:rsid w:val="00614DE8"/>
    <w:rsid w:val="00617B22"/>
    <w:rsid w:val="006209A3"/>
    <w:rsid w:val="00634321"/>
    <w:rsid w:val="0064217C"/>
    <w:rsid w:val="0064698E"/>
    <w:rsid w:val="00652536"/>
    <w:rsid w:val="00661585"/>
    <w:rsid w:val="006738FE"/>
    <w:rsid w:val="00673E83"/>
    <w:rsid w:val="00674E29"/>
    <w:rsid w:val="00682AD1"/>
    <w:rsid w:val="00684C7B"/>
    <w:rsid w:val="00687461"/>
    <w:rsid w:val="006900EA"/>
    <w:rsid w:val="00690A8B"/>
    <w:rsid w:val="006910C6"/>
    <w:rsid w:val="006913CF"/>
    <w:rsid w:val="0069313F"/>
    <w:rsid w:val="00693B69"/>
    <w:rsid w:val="00696636"/>
    <w:rsid w:val="006A1E32"/>
    <w:rsid w:val="006A6546"/>
    <w:rsid w:val="006B1974"/>
    <w:rsid w:val="006B32AD"/>
    <w:rsid w:val="006B6EF5"/>
    <w:rsid w:val="006D1CAB"/>
    <w:rsid w:val="006D269F"/>
    <w:rsid w:val="006D4660"/>
    <w:rsid w:val="006E7830"/>
    <w:rsid w:val="006E7A9A"/>
    <w:rsid w:val="006F260B"/>
    <w:rsid w:val="006F3C5A"/>
    <w:rsid w:val="0070002D"/>
    <w:rsid w:val="00706B7F"/>
    <w:rsid w:val="0072569D"/>
    <w:rsid w:val="00733496"/>
    <w:rsid w:val="007354D4"/>
    <w:rsid w:val="00745282"/>
    <w:rsid w:val="007468C7"/>
    <w:rsid w:val="00746929"/>
    <w:rsid w:val="00746A57"/>
    <w:rsid w:val="007654D7"/>
    <w:rsid w:val="007674F4"/>
    <w:rsid w:val="00773C95"/>
    <w:rsid w:val="00774180"/>
    <w:rsid w:val="007A1EEB"/>
    <w:rsid w:val="007A41D4"/>
    <w:rsid w:val="007B0F40"/>
    <w:rsid w:val="007B43E9"/>
    <w:rsid w:val="007D1BBB"/>
    <w:rsid w:val="007D33B1"/>
    <w:rsid w:val="007E0677"/>
    <w:rsid w:val="007E0F52"/>
    <w:rsid w:val="007E1FD9"/>
    <w:rsid w:val="007E4E7B"/>
    <w:rsid w:val="007F1831"/>
    <w:rsid w:val="007F2B20"/>
    <w:rsid w:val="007F4414"/>
    <w:rsid w:val="007F5C61"/>
    <w:rsid w:val="007F6EAE"/>
    <w:rsid w:val="0080288A"/>
    <w:rsid w:val="0080295B"/>
    <w:rsid w:val="008067DB"/>
    <w:rsid w:val="00806BA7"/>
    <w:rsid w:val="00821A86"/>
    <w:rsid w:val="00831A5C"/>
    <w:rsid w:val="00831F81"/>
    <w:rsid w:val="0084613F"/>
    <w:rsid w:val="00846569"/>
    <w:rsid w:val="008532DC"/>
    <w:rsid w:val="00856FA5"/>
    <w:rsid w:val="00866E4A"/>
    <w:rsid w:val="00867F0D"/>
    <w:rsid w:val="00873BD2"/>
    <w:rsid w:val="00875EAA"/>
    <w:rsid w:val="00880AC8"/>
    <w:rsid w:val="008824B6"/>
    <w:rsid w:val="0088641C"/>
    <w:rsid w:val="0088672C"/>
    <w:rsid w:val="00890ACF"/>
    <w:rsid w:val="0089188E"/>
    <w:rsid w:val="008923EE"/>
    <w:rsid w:val="008A504F"/>
    <w:rsid w:val="008B6F23"/>
    <w:rsid w:val="008C153C"/>
    <w:rsid w:val="008C25BE"/>
    <w:rsid w:val="008C51A1"/>
    <w:rsid w:val="008C7612"/>
    <w:rsid w:val="008D01E3"/>
    <w:rsid w:val="008D045C"/>
    <w:rsid w:val="008D1A94"/>
    <w:rsid w:val="008D439E"/>
    <w:rsid w:val="008E08BE"/>
    <w:rsid w:val="008E403F"/>
    <w:rsid w:val="008F15A7"/>
    <w:rsid w:val="008F46A6"/>
    <w:rsid w:val="008F7D0D"/>
    <w:rsid w:val="009024C9"/>
    <w:rsid w:val="00902E25"/>
    <w:rsid w:val="009102FC"/>
    <w:rsid w:val="00910A5A"/>
    <w:rsid w:val="00911F4E"/>
    <w:rsid w:val="009136DA"/>
    <w:rsid w:val="00916BA7"/>
    <w:rsid w:val="00926B51"/>
    <w:rsid w:val="0093079D"/>
    <w:rsid w:val="00933ED1"/>
    <w:rsid w:val="00934973"/>
    <w:rsid w:val="009428B5"/>
    <w:rsid w:val="00944FD8"/>
    <w:rsid w:val="009502BA"/>
    <w:rsid w:val="009554C4"/>
    <w:rsid w:val="009615AB"/>
    <w:rsid w:val="00967B1C"/>
    <w:rsid w:val="00971B16"/>
    <w:rsid w:val="00971EEA"/>
    <w:rsid w:val="00981E92"/>
    <w:rsid w:val="00982C6D"/>
    <w:rsid w:val="00983B64"/>
    <w:rsid w:val="00991805"/>
    <w:rsid w:val="00992AAB"/>
    <w:rsid w:val="009966E8"/>
    <w:rsid w:val="009A2418"/>
    <w:rsid w:val="009A60CD"/>
    <w:rsid w:val="009B0327"/>
    <w:rsid w:val="009B07D1"/>
    <w:rsid w:val="009B2D48"/>
    <w:rsid w:val="009C020B"/>
    <w:rsid w:val="009C1C9F"/>
    <w:rsid w:val="009C5FE0"/>
    <w:rsid w:val="009D49EA"/>
    <w:rsid w:val="009E3100"/>
    <w:rsid w:val="009E45AB"/>
    <w:rsid w:val="009F0680"/>
    <w:rsid w:val="009F6719"/>
    <w:rsid w:val="009F7FEE"/>
    <w:rsid w:val="00A0182F"/>
    <w:rsid w:val="00A12943"/>
    <w:rsid w:val="00A16CE9"/>
    <w:rsid w:val="00A1762E"/>
    <w:rsid w:val="00A23C82"/>
    <w:rsid w:val="00A24A61"/>
    <w:rsid w:val="00A54558"/>
    <w:rsid w:val="00A574FD"/>
    <w:rsid w:val="00A63230"/>
    <w:rsid w:val="00A66C31"/>
    <w:rsid w:val="00A7474C"/>
    <w:rsid w:val="00A815CB"/>
    <w:rsid w:val="00A839CF"/>
    <w:rsid w:val="00A84030"/>
    <w:rsid w:val="00A84151"/>
    <w:rsid w:val="00A904C7"/>
    <w:rsid w:val="00A954CA"/>
    <w:rsid w:val="00A975D7"/>
    <w:rsid w:val="00AA607D"/>
    <w:rsid w:val="00AB047A"/>
    <w:rsid w:val="00AB42D8"/>
    <w:rsid w:val="00AB72FC"/>
    <w:rsid w:val="00AC3B7C"/>
    <w:rsid w:val="00AC7C71"/>
    <w:rsid w:val="00AD41B2"/>
    <w:rsid w:val="00AE12E6"/>
    <w:rsid w:val="00AE1BD8"/>
    <w:rsid w:val="00AF1864"/>
    <w:rsid w:val="00AF1C26"/>
    <w:rsid w:val="00B04530"/>
    <w:rsid w:val="00B079D7"/>
    <w:rsid w:val="00B27AF4"/>
    <w:rsid w:val="00B310AF"/>
    <w:rsid w:val="00B31455"/>
    <w:rsid w:val="00B35762"/>
    <w:rsid w:val="00B371B2"/>
    <w:rsid w:val="00B40D9E"/>
    <w:rsid w:val="00B42EBB"/>
    <w:rsid w:val="00B47966"/>
    <w:rsid w:val="00B53DA6"/>
    <w:rsid w:val="00B6244A"/>
    <w:rsid w:val="00B641BA"/>
    <w:rsid w:val="00B772D8"/>
    <w:rsid w:val="00B83F23"/>
    <w:rsid w:val="00B970BF"/>
    <w:rsid w:val="00BA3EEB"/>
    <w:rsid w:val="00BA54AA"/>
    <w:rsid w:val="00BA7C8A"/>
    <w:rsid w:val="00BA7EEB"/>
    <w:rsid w:val="00BC13AC"/>
    <w:rsid w:val="00BC4C9D"/>
    <w:rsid w:val="00BC5B07"/>
    <w:rsid w:val="00BC74F4"/>
    <w:rsid w:val="00BC7CC2"/>
    <w:rsid w:val="00BD42AD"/>
    <w:rsid w:val="00BD6745"/>
    <w:rsid w:val="00C00D16"/>
    <w:rsid w:val="00C07C31"/>
    <w:rsid w:val="00C07CA4"/>
    <w:rsid w:val="00C11875"/>
    <w:rsid w:val="00C12FB7"/>
    <w:rsid w:val="00C2544A"/>
    <w:rsid w:val="00C376F4"/>
    <w:rsid w:val="00C61ECF"/>
    <w:rsid w:val="00C70F7B"/>
    <w:rsid w:val="00C74238"/>
    <w:rsid w:val="00C7771E"/>
    <w:rsid w:val="00C92548"/>
    <w:rsid w:val="00C97269"/>
    <w:rsid w:val="00C97DC4"/>
    <w:rsid w:val="00CC407B"/>
    <w:rsid w:val="00CC46F1"/>
    <w:rsid w:val="00CD6E55"/>
    <w:rsid w:val="00CD7477"/>
    <w:rsid w:val="00CE19AA"/>
    <w:rsid w:val="00CE1F59"/>
    <w:rsid w:val="00CE2B59"/>
    <w:rsid w:val="00CE3232"/>
    <w:rsid w:val="00CE4B42"/>
    <w:rsid w:val="00CE6C82"/>
    <w:rsid w:val="00CE78CB"/>
    <w:rsid w:val="00CF30AE"/>
    <w:rsid w:val="00D00C14"/>
    <w:rsid w:val="00D02FFA"/>
    <w:rsid w:val="00D15DC5"/>
    <w:rsid w:val="00D21D9A"/>
    <w:rsid w:val="00D21E59"/>
    <w:rsid w:val="00D23387"/>
    <w:rsid w:val="00D267ED"/>
    <w:rsid w:val="00D30EEC"/>
    <w:rsid w:val="00D30F0C"/>
    <w:rsid w:val="00D31E40"/>
    <w:rsid w:val="00D356CB"/>
    <w:rsid w:val="00D36016"/>
    <w:rsid w:val="00D365D9"/>
    <w:rsid w:val="00D4666E"/>
    <w:rsid w:val="00D5137E"/>
    <w:rsid w:val="00D61EAD"/>
    <w:rsid w:val="00D7096D"/>
    <w:rsid w:val="00D7156C"/>
    <w:rsid w:val="00D72FA8"/>
    <w:rsid w:val="00D73CDD"/>
    <w:rsid w:val="00D7696F"/>
    <w:rsid w:val="00D8560D"/>
    <w:rsid w:val="00D8729B"/>
    <w:rsid w:val="00D937AB"/>
    <w:rsid w:val="00DA4F93"/>
    <w:rsid w:val="00DB0CB0"/>
    <w:rsid w:val="00DB2E43"/>
    <w:rsid w:val="00DB4527"/>
    <w:rsid w:val="00DC0A55"/>
    <w:rsid w:val="00DC1C1F"/>
    <w:rsid w:val="00DC2792"/>
    <w:rsid w:val="00DC509D"/>
    <w:rsid w:val="00DC5684"/>
    <w:rsid w:val="00DF20E1"/>
    <w:rsid w:val="00DF4853"/>
    <w:rsid w:val="00E0277D"/>
    <w:rsid w:val="00E03CCB"/>
    <w:rsid w:val="00E04870"/>
    <w:rsid w:val="00E079C5"/>
    <w:rsid w:val="00E11AFA"/>
    <w:rsid w:val="00E25232"/>
    <w:rsid w:val="00E30196"/>
    <w:rsid w:val="00E319D9"/>
    <w:rsid w:val="00E327D9"/>
    <w:rsid w:val="00E33115"/>
    <w:rsid w:val="00E35B86"/>
    <w:rsid w:val="00E365C7"/>
    <w:rsid w:val="00E36D50"/>
    <w:rsid w:val="00E44B1B"/>
    <w:rsid w:val="00E45D08"/>
    <w:rsid w:val="00E4674E"/>
    <w:rsid w:val="00E57CD7"/>
    <w:rsid w:val="00E81CD4"/>
    <w:rsid w:val="00E81FCA"/>
    <w:rsid w:val="00E85533"/>
    <w:rsid w:val="00E95BAD"/>
    <w:rsid w:val="00EA01C2"/>
    <w:rsid w:val="00EA0AEC"/>
    <w:rsid w:val="00EA4356"/>
    <w:rsid w:val="00EB4D43"/>
    <w:rsid w:val="00EB684B"/>
    <w:rsid w:val="00EE1E5F"/>
    <w:rsid w:val="00EE27D0"/>
    <w:rsid w:val="00EE5286"/>
    <w:rsid w:val="00EE7C25"/>
    <w:rsid w:val="00F03F91"/>
    <w:rsid w:val="00F04CF3"/>
    <w:rsid w:val="00F052BF"/>
    <w:rsid w:val="00F17164"/>
    <w:rsid w:val="00F17AF9"/>
    <w:rsid w:val="00F23BC0"/>
    <w:rsid w:val="00F25695"/>
    <w:rsid w:val="00F31075"/>
    <w:rsid w:val="00F328BD"/>
    <w:rsid w:val="00F34842"/>
    <w:rsid w:val="00F354B2"/>
    <w:rsid w:val="00F4436F"/>
    <w:rsid w:val="00F44DA7"/>
    <w:rsid w:val="00F46F41"/>
    <w:rsid w:val="00F54A69"/>
    <w:rsid w:val="00F55006"/>
    <w:rsid w:val="00F606BD"/>
    <w:rsid w:val="00F714CE"/>
    <w:rsid w:val="00F779D7"/>
    <w:rsid w:val="00F82F7D"/>
    <w:rsid w:val="00F83B78"/>
    <w:rsid w:val="00F8438C"/>
    <w:rsid w:val="00F86435"/>
    <w:rsid w:val="00FA250B"/>
    <w:rsid w:val="00FB1D1E"/>
    <w:rsid w:val="00FD4E90"/>
    <w:rsid w:val="00FF1B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caption" w:locked="1" w:uiPriority="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0B"/>
    <w:pPr>
      <w:spacing w:before="120" w:line="288" w:lineRule="auto"/>
      <w:jc w:val="both"/>
    </w:pPr>
    <w:rPr>
      <w:rFonts w:ascii="Arial" w:hAnsi="Arial"/>
      <w:sz w:val="20"/>
      <w:szCs w:val="20"/>
    </w:rPr>
  </w:style>
  <w:style w:type="paragraph" w:styleId="Titre1">
    <w:name w:val="heading 1"/>
    <w:basedOn w:val="Normal"/>
    <w:next w:val="Normal"/>
    <w:link w:val="Titre1Car"/>
    <w:autoRedefine/>
    <w:uiPriority w:val="99"/>
    <w:qFormat/>
    <w:rsid w:val="00674E29"/>
    <w:pPr>
      <w:keepNext/>
      <w:numPr>
        <w:numId w:val="2"/>
      </w:numPr>
      <w:tabs>
        <w:tab w:val="clear" w:pos="432"/>
      </w:tabs>
      <w:spacing w:before="240" w:after="240"/>
      <w:ind w:left="426" w:hanging="290"/>
      <w:outlineLvl w:val="0"/>
    </w:pPr>
    <w:rPr>
      <w:rFonts w:cs="Arial"/>
      <w:b/>
      <w:color w:val="514B64"/>
      <w:kern w:val="28"/>
      <w:sz w:val="24"/>
      <w:szCs w:val="24"/>
    </w:rPr>
  </w:style>
  <w:style w:type="paragraph" w:styleId="Titre2">
    <w:name w:val="heading 2"/>
    <w:basedOn w:val="Normal"/>
    <w:next w:val="Normal"/>
    <w:link w:val="Titre2Car"/>
    <w:uiPriority w:val="99"/>
    <w:qFormat/>
    <w:rsid w:val="0011140B"/>
    <w:pPr>
      <w:keepNext/>
      <w:numPr>
        <w:ilvl w:val="1"/>
        <w:numId w:val="3"/>
      </w:numPr>
      <w:spacing w:after="120"/>
      <w:outlineLvl w:val="1"/>
    </w:pPr>
    <w:rPr>
      <w:rFonts w:cs="Arial"/>
      <w:b/>
      <w:bCs/>
      <w:iCs/>
      <w:color w:val="514B64"/>
    </w:rPr>
  </w:style>
  <w:style w:type="paragraph" w:styleId="Titre4">
    <w:name w:val="heading 4"/>
    <w:basedOn w:val="Normal"/>
    <w:next w:val="Normal"/>
    <w:link w:val="Titre4Car"/>
    <w:unhideWhenUsed/>
    <w:qFormat/>
    <w:locked/>
    <w:rsid w:val="0080288A"/>
    <w:pPr>
      <w:keepNext/>
      <w:keepLines/>
      <w:numPr>
        <w:numId w:val="6"/>
      </w:numPr>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74E29"/>
    <w:rPr>
      <w:rFonts w:ascii="Arial" w:hAnsi="Arial" w:cs="Arial"/>
      <w:b/>
      <w:noProof/>
      <w:color w:val="514B64"/>
      <w:kern w:val="28"/>
      <w:sz w:val="24"/>
      <w:szCs w:val="24"/>
    </w:rPr>
  </w:style>
  <w:style w:type="character" w:customStyle="1" w:styleId="Titre2Car">
    <w:name w:val="Titre 2 Car"/>
    <w:basedOn w:val="Policepardfaut"/>
    <w:link w:val="Titre2"/>
    <w:uiPriority w:val="99"/>
    <w:locked/>
    <w:rsid w:val="0011140B"/>
    <w:rPr>
      <w:rFonts w:ascii="Arial" w:hAnsi="Arial" w:cs="Arial"/>
      <w:b/>
      <w:bCs/>
      <w:iCs/>
      <w:noProof/>
      <w:color w:val="514B64"/>
      <w:sz w:val="20"/>
      <w:szCs w:val="20"/>
    </w:rPr>
  </w:style>
  <w:style w:type="paragraph" w:styleId="Titre">
    <w:name w:val="Title"/>
    <w:basedOn w:val="Normal"/>
    <w:link w:val="TitreCar"/>
    <w:uiPriority w:val="99"/>
    <w:qFormat/>
    <w:rsid w:val="002A12D4"/>
    <w:pPr>
      <w:ind w:left="-142" w:right="-177"/>
      <w:jc w:val="center"/>
      <w:outlineLvl w:val="0"/>
    </w:pPr>
    <w:rPr>
      <w:rFonts w:cs="Arial"/>
      <w:b/>
      <w:color w:val="514B64"/>
      <w:sz w:val="32"/>
      <w:szCs w:val="32"/>
    </w:rPr>
  </w:style>
  <w:style w:type="character" w:customStyle="1" w:styleId="TitreCar">
    <w:name w:val="Titre Car"/>
    <w:basedOn w:val="Policepardfaut"/>
    <w:link w:val="Titre"/>
    <w:uiPriority w:val="99"/>
    <w:locked/>
    <w:rsid w:val="002A12D4"/>
    <w:rPr>
      <w:rFonts w:ascii="Arial" w:hAnsi="Arial" w:cs="Arial"/>
      <w:b/>
      <w:color w:val="514B64"/>
      <w:sz w:val="32"/>
      <w:szCs w:val="32"/>
    </w:rPr>
  </w:style>
  <w:style w:type="paragraph" w:styleId="En-tte">
    <w:name w:val="header"/>
    <w:basedOn w:val="Normal"/>
    <w:link w:val="En-tteCar"/>
    <w:rsid w:val="003F74BB"/>
    <w:pPr>
      <w:tabs>
        <w:tab w:val="center" w:pos="4536"/>
        <w:tab w:val="right" w:pos="9072"/>
      </w:tabs>
    </w:pPr>
    <w:rPr>
      <w:rFonts w:ascii="Times New Roman" w:hAnsi="Times New Roman"/>
    </w:rPr>
  </w:style>
  <w:style w:type="character" w:customStyle="1" w:styleId="En-tteCar">
    <w:name w:val="En-tête Car"/>
    <w:basedOn w:val="Policepardfaut"/>
    <w:link w:val="En-tte"/>
    <w:locked/>
    <w:rsid w:val="00AB047A"/>
    <w:rPr>
      <w:rFonts w:ascii="Arial" w:hAnsi="Arial" w:cs="Times New Roman"/>
      <w:sz w:val="20"/>
      <w:szCs w:val="20"/>
    </w:rPr>
  </w:style>
  <w:style w:type="paragraph" w:styleId="Pieddepage">
    <w:name w:val="footer"/>
    <w:basedOn w:val="Normal"/>
    <w:link w:val="PieddepageCar"/>
    <w:uiPriority w:val="99"/>
    <w:rsid w:val="003F74BB"/>
    <w:pPr>
      <w:tabs>
        <w:tab w:val="center" w:pos="4536"/>
        <w:tab w:val="right" w:pos="9072"/>
      </w:tabs>
    </w:pPr>
  </w:style>
  <w:style w:type="character" w:customStyle="1" w:styleId="PieddepageCar">
    <w:name w:val="Pied de page Car"/>
    <w:basedOn w:val="Policepardfaut"/>
    <w:link w:val="Pieddepage"/>
    <w:uiPriority w:val="99"/>
    <w:locked/>
    <w:rsid w:val="00AB047A"/>
    <w:rPr>
      <w:rFonts w:ascii="Arial" w:hAnsi="Arial" w:cs="Times New Roman"/>
      <w:sz w:val="20"/>
      <w:szCs w:val="20"/>
    </w:rPr>
  </w:style>
  <w:style w:type="character" w:styleId="Numrodepage">
    <w:name w:val="page number"/>
    <w:basedOn w:val="Policepardfaut"/>
    <w:uiPriority w:val="99"/>
    <w:rsid w:val="003F74BB"/>
    <w:rPr>
      <w:rFonts w:cs="Times New Roman"/>
    </w:rPr>
  </w:style>
  <w:style w:type="paragraph" w:customStyle="1" w:styleId="CarCar3CarCarCarCarCarCar">
    <w:name w:val="Car Car3 Car Car Car Car Car Car"/>
    <w:basedOn w:val="Normal"/>
    <w:uiPriority w:val="99"/>
    <w:rsid w:val="003F74BB"/>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character" w:styleId="Accentuation">
    <w:name w:val="Emphasis"/>
    <w:basedOn w:val="Policepardfaut"/>
    <w:uiPriority w:val="99"/>
    <w:qFormat/>
    <w:rsid w:val="003F74BB"/>
    <w:rPr>
      <w:rFonts w:cs="Times New Roman"/>
      <w:i/>
      <w:iCs/>
    </w:rPr>
  </w:style>
  <w:style w:type="paragraph" w:styleId="Textedebulles">
    <w:name w:val="Balloon Text"/>
    <w:basedOn w:val="Normal"/>
    <w:link w:val="TextedebullesCar"/>
    <w:uiPriority w:val="99"/>
    <w:semiHidden/>
    <w:rsid w:val="003F74BB"/>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B047A"/>
    <w:rPr>
      <w:rFonts w:cs="Times New Roman"/>
      <w:sz w:val="2"/>
    </w:rPr>
  </w:style>
  <w:style w:type="paragraph" w:customStyle="1" w:styleId="CarCarCarCarCar">
    <w:name w:val="Car Car Car Car Car"/>
    <w:basedOn w:val="Normal"/>
    <w:uiPriority w:val="99"/>
    <w:rsid w:val="00D30EEC"/>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paragraph" w:styleId="Notedebasdepage">
    <w:name w:val="footnote text"/>
    <w:basedOn w:val="Normal"/>
    <w:link w:val="NotedebasdepageCar"/>
    <w:semiHidden/>
    <w:rsid w:val="004C7EEE"/>
  </w:style>
  <w:style w:type="character" w:customStyle="1" w:styleId="NotedebasdepageCar">
    <w:name w:val="Note de bas de page Car"/>
    <w:basedOn w:val="Policepardfaut"/>
    <w:link w:val="Notedebasdepage"/>
    <w:uiPriority w:val="99"/>
    <w:semiHidden/>
    <w:locked/>
    <w:rsid w:val="00AB047A"/>
    <w:rPr>
      <w:rFonts w:ascii="Arial" w:hAnsi="Arial" w:cs="Times New Roman"/>
      <w:sz w:val="20"/>
      <w:szCs w:val="20"/>
    </w:rPr>
  </w:style>
  <w:style w:type="character" w:styleId="Appelnotedebasdep">
    <w:name w:val="footnote reference"/>
    <w:basedOn w:val="Policepardfaut"/>
    <w:semiHidden/>
    <w:rsid w:val="004C7EEE"/>
    <w:rPr>
      <w:rFonts w:cs="Times New Roman"/>
      <w:vertAlign w:val="superscript"/>
    </w:rPr>
  </w:style>
  <w:style w:type="character" w:styleId="lev">
    <w:name w:val="Strong"/>
    <w:basedOn w:val="Policepardfaut"/>
    <w:uiPriority w:val="99"/>
    <w:qFormat/>
    <w:rsid w:val="00690A8B"/>
    <w:rPr>
      <w:rFonts w:cs="Times New Roman"/>
      <w:b/>
      <w:bCs/>
    </w:rPr>
  </w:style>
  <w:style w:type="paragraph" w:customStyle="1" w:styleId="CarCar">
    <w:name w:val="Car Car"/>
    <w:basedOn w:val="Normal"/>
    <w:uiPriority w:val="99"/>
    <w:rsid w:val="00F779D7"/>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character" w:styleId="Marquedecommentaire">
    <w:name w:val="annotation reference"/>
    <w:basedOn w:val="Policepardfaut"/>
    <w:uiPriority w:val="99"/>
    <w:semiHidden/>
    <w:rsid w:val="002A3199"/>
    <w:rPr>
      <w:rFonts w:cs="Times New Roman"/>
      <w:sz w:val="16"/>
      <w:szCs w:val="16"/>
    </w:rPr>
  </w:style>
  <w:style w:type="paragraph" w:styleId="Commentaire">
    <w:name w:val="annotation text"/>
    <w:basedOn w:val="Normal"/>
    <w:link w:val="CommentaireCar"/>
    <w:uiPriority w:val="99"/>
    <w:semiHidden/>
    <w:rsid w:val="002A3199"/>
  </w:style>
  <w:style w:type="character" w:customStyle="1" w:styleId="CommentaireCar">
    <w:name w:val="Commentaire Car"/>
    <w:basedOn w:val="Policepardfaut"/>
    <w:link w:val="Commentaire"/>
    <w:uiPriority w:val="99"/>
    <w:semiHidden/>
    <w:locked/>
    <w:rsid w:val="00AB047A"/>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rsid w:val="002A3199"/>
    <w:rPr>
      <w:b/>
      <w:bCs/>
    </w:rPr>
  </w:style>
  <w:style w:type="character" w:customStyle="1" w:styleId="ObjetducommentaireCar">
    <w:name w:val="Objet du commentaire Car"/>
    <w:basedOn w:val="CommentaireCar"/>
    <w:link w:val="Objetducommentaire"/>
    <w:uiPriority w:val="99"/>
    <w:semiHidden/>
    <w:locked/>
    <w:rsid w:val="00AB047A"/>
    <w:rPr>
      <w:rFonts w:ascii="Arial" w:hAnsi="Arial" w:cs="Times New Roman"/>
      <w:b/>
      <w:bCs/>
      <w:sz w:val="20"/>
      <w:szCs w:val="20"/>
    </w:rPr>
  </w:style>
  <w:style w:type="paragraph" w:customStyle="1" w:styleId="CarCar2">
    <w:name w:val="Car Car2"/>
    <w:basedOn w:val="Normal"/>
    <w:uiPriority w:val="99"/>
    <w:rsid w:val="009A60CD"/>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paragraph" w:customStyle="1" w:styleId="CarCar1">
    <w:name w:val="Car Car1"/>
    <w:basedOn w:val="Normal"/>
    <w:rsid w:val="002230DB"/>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paragraph" w:styleId="Paragraphedeliste">
    <w:name w:val="List Paragraph"/>
    <w:basedOn w:val="Normal"/>
    <w:uiPriority w:val="34"/>
    <w:qFormat/>
    <w:rsid w:val="008824B6"/>
    <w:pPr>
      <w:ind w:left="720"/>
      <w:contextualSpacing/>
    </w:pPr>
  </w:style>
  <w:style w:type="character" w:styleId="Lienhypertexte">
    <w:name w:val="Hyperlink"/>
    <w:basedOn w:val="Policepardfaut"/>
    <w:uiPriority w:val="99"/>
    <w:unhideWhenUsed/>
    <w:rsid w:val="00E35B86"/>
    <w:rPr>
      <w:color w:val="0000FF" w:themeColor="hyperlink"/>
      <w:u w:val="single"/>
    </w:rPr>
  </w:style>
  <w:style w:type="paragraph" w:styleId="NormalWeb">
    <w:name w:val="Normal (Web)"/>
    <w:basedOn w:val="Normal"/>
    <w:uiPriority w:val="99"/>
    <w:semiHidden/>
    <w:unhideWhenUsed/>
    <w:rsid w:val="002A12D4"/>
    <w:pPr>
      <w:spacing w:before="100" w:beforeAutospacing="1" w:after="100" w:afterAutospacing="1"/>
      <w:jc w:val="left"/>
    </w:pPr>
    <w:rPr>
      <w:rFonts w:ascii="Times" w:eastAsia="Times" w:hAnsi="Times"/>
    </w:rPr>
  </w:style>
  <w:style w:type="paragraph" w:styleId="Sous-titre">
    <w:name w:val="Subtitle"/>
    <w:basedOn w:val="Titre"/>
    <w:next w:val="Normal"/>
    <w:link w:val="Sous-titreCar"/>
    <w:qFormat/>
    <w:locked/>
    <w:rsid w:val="005B1F91"/>
    <w:pPr>
      <w:ind w:right="-176"/>
    </w:pPr>
    <w:rPr>
      <w:sz w:val="24"/>
      <w:szCs w:val="24"/>
    </w:rPr>
  </w:style>
  <w:style w:type="character" w:customStyle="1" w:styleId="Sous-titreCar">
    <w:name w:val="Sous-titre Car"/>
    <w:basedOn w:val="Policepardfaut"/>
    <w:link w:val="Sous-titre"/>
    <w:rsid w:val="005B1F91"/>
    <w:rPr>
      <w:rFonts w:ascii="Arial" w:hAnsi="Arial" w:cs="Arial"/>
      <w:b/>
      <w:color w:val="514B64"/>
      <w:sz w:val="24"/>
      <w:szCs w:val="24"/>
    </w:rPr>
  </w:style>
  <w:style w:type="character" w:customStyle="1" w:styleId="Titre4Car">
    <w:name w:val="Titre 4 Car"/>
    <w:basedOn w:val="Policepardfaut"/>
    <w:link w:val="Titre4"/>
    <w:rsid w:val="0080288A"/>
    <w:rPr>
      <w:rFonts w:asciiTheme="majorHAnsi" w:eastAsiaTheme="majorEastAsia" w:hAnsiTheme="majorHAnsi" w:cstheme="majorBidi"/>
      <w:b/>
      <w:bCs/>
      <w:i/>
      <w:iCs/>
      <w:noProof/>
      <w:color w:val="4F81BD" w:themeColor="accent1"/>
      <w:sz w:val="20"/>
      <w:szCs w:val="20"/>
    </w:rPr>
  </w:style>
  <w:style w:type="paragraph" w:styleId="En-ttedetabledesmatires">
    <w:name w:val="TOC Heading"/>
    <w:basedOn w:val="Titre1"/>
    <w:next w:val="Normal"/>
    <w:uiPriority w:val="39"/>
    <w:semiHidden/>
    <w:unhideWhenUsed/>
    <w:qFormat/>
    <w:rsid w:val="00E079C5"/>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TM1">
    <w:name w:val="toc 1"/>
    <w:basedOn w:val="Normal"/>
    <w:next w:val="Normal"/>
    <w:autoRedefine/>
    <w:uiPriority w:val="39"/>
    <w:locked/>
    <w:rsid w:val="00E079C5"/>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caption" w:locked="1" w:uiPriority="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0B"/>
    <w:pPr>
      <w:spacing w:before="120" w:line="288" w:lineRule="auto"/>
      <w:jc w:val="both"/>
    </w:pPr>
    <w:rPr>
      <w:rFonts w:ascii="Arial" w:hAnsi="Arial"/>
      <w:sz w:val="20"/>
      <w:szCs w:val="20"/>
    </w:rPr>
  </w:style>
  <w:style w:type="paragraph" w:styleId="Titre1">
    <w:name w:val="heading 1"/>
    <w:basedOn w:val="Normal"/>
    <w:next w:val="Normal"/>
    <w:link w:val="Titre1Car"/>
    <w:autoRedefine/>
    <w:uiPriority w:val="99"/>
    <w:qFormat/>
    <w:rsid w:val="00674E29"/>
    <w:pPr>
      <w:keepNext/>
      <w:numPr>
        <w:numId w:val="2"/>
      </w:numPr>
      <w:tabs>
        <w:tab w:val="clear" w:pos="432"/>
      </w:tabs>
      <w:spacing w:before="240" w:after="240"/>
      <w:ind w:left="426" w:hanging="290"/>
      <w:outlineLvl w:val="0"/>
    </w:pPr>
    <w:rPr>
      <w:rFonts w:cs="Arial"/>
      <w:b/>
      <w:color w:val="514B64"/>
      <w:kern w:val="28"/>
      <w:sz w:val="24"/>
      <w:szCs w:val="24"/>
    </w:rPr>
  </w:style>
  <w:style w:type="paragraph" w:styleId="Titre2">
    <w:name w:val="heading 2"/>
    <w:basedOn w:val="Normal"/>
    <w:next w:val="Normal"/>
    <w:link w:val="Titre2Car"/>
    <w:uiPriority w:val="99"/>
    <w:qFormat/>
    <w:rsid w:val="0011140B"/>
    <w:pPr>
      <w:keepNext/>
      <w:numPr>
        <w:ilvl w:val="1"/>
        <w:numId w:val="3"/>
      </w:numPr>
      <w:spacing w:after="120"/>
      <w:outlineLvl w:val="1"/>
    </w:pPr>
    <w:rPr>
      <w:rFonts w:cs="Arial"/>
      <w:b/>
      <w:bCs/>
      <w:iCs/>
      <w:color w:val="514B64"/>
    </w:rPr>
  </w:style>
  <w:style w:type="paragraph" w:styleId="Titre4">
    <w:name w:val="heading 4"/>
    <w:basedOn w:val="Normal"/>
    <w:next w:val="Normal"/>
    <w:link w:val="Titre4Car"/>
    <w:unhideWhenUsed/>
    <w:qFormat/>
    <w:locked/>
    <w:rsid w:val="0080288A"/>
    <w:pPr>
      <w:keepNext/>
      <w:keepLines/>
      <w:numPr>
        <w:numId w:val="6"/>
      </w:numPr>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74E29"/>
    <w:rPr>
      <w:rFonts w:ascii="Arial" w:hAnsi="Arial" w:cs="Arial"/>
      <w:b/>
      <w:noProof/>
      <w:color w:val="514B64"/>
      <w:kern w:val="28"/>
      <w:sz w:val="24"/>
      <w:szCs w:val="24"/>
    </w:rPr>
  </w:style>
  <w:style w:type="character" w:customStyle="1" w:styleId="Titre2Car">
    <w:name w:val="Titre 2 Car"/>
    <w:basedOn w:val="Policepardfaut"/>
    <w:link w:val="Titre2"/>
    <w:uiPriority w:val="99"/>
    <w:locked/>
    <w:rsid w:val="0011140B"/>
    <w:rPr>
      <w:rFonts w:ascii="Arial" w:hAnsi="Arial" w:cs="Arial"/>
      <w:b/>
      <w:bCs/>
      <w:iCs/>
      <w:noProof/>
      <w:color w:val="514B64"/>
      <w:sz w:val="20"/>
      <w:szCs w:val="20"/>
    </w:rPr>
  </w:style>
  <w:style w:type="paragraph" w:styleId="Titre">
    <w:name w:val="Title"/>
    <w:basedOn w:val="Normal"/>
    <w:link w:val="TitreCar"/>
    <w:uiPriority w:val="99"/>
    <w:qFormat/>
    <w:rsid w:val="002A12D4"/>
    <w:pPr>
      <w:ind w:left="-142" w:right="-177"/>
      <w:jc w:val="center"/>
      <w:outlineLvl w:val="0"/>
    </w:pPr>
    <w:rPr>
      <w:rFonts w:cs="Arial"/>
      <w:b/>
      <w:color w:val="514B64"/>
      <w:sz w:val="32"/>
      <w:szCs w:val="32"/>
    </w:rPr>
  </w:style>
  <w:style w:type="character" w:customStyle="1" w:styleId="TitreCar">
    <w:name w:val="Titre Car"/>
    <w:basedOn w:val="Policepardfaut"/>
    <w:link w:val="Titre"/>
    <w:uiPriority w:val="99"/>
    <w:locked/>
    <w:rsid w:val="002A12D4"/>
    <w:rPr>
      <w:rFonts w:ascii="Arial" w:hAnsi="Arial" w:cs="Arial"/>
      <w:b/>
      <w:color w:val="514B64"/>
      <w:sz w:val="32"/>
      <w:szCs w:val="32"/>
    </w:rPr>
  </w:style>
  <w:style w:type="paragraph" w:styleId="En-tte">
    <w:name w:val="header"/>
    <w:basedOn w:val="Normal"/>
    <w:link w:val="En-tteCar"/>
    <w:rsid w:val="003F74BB"/>
    <w:pPr>
      <w:tabs>
        <w:tab w:val="center" w:pos="4536"/>
        <w:tab w:val="right" w:pos="9072"/>
      </w:tabs>
    </w:pPr>
    <w:rPr>
      <w:rFonts w:ascii="Times New Roman" w:hAnsi="Times New Roman"/>
    </w:rPr>
  </w:style>
  <w:style w:type="character" w:customStyle="1" w:styleId="En-tteCar">
    <w:name w:val="En-tête Car"/>
    <w:basedOn w:val="Policepardfaut"/>
    <w:link w:val="En-tte"/>
    <w:locked/>
    <w:rsid w:val="00AB047A"/>
    <w:rPr>
      <w:rFonts w:ascii="Arial" w:hAnsi="Arial" w:cs="Times New Roman"/>
      <w:sz w:val="20"/>
      <w:szCs w:val="20"/>
    </w:rPr>
  </w:style>
  <w:style w:type="paragraph" w:styleId="Pieddepage">
    <w:name w:val="footer"/>
    <w:basedOn w:val="Normal"/>
    <w:link w:val="PieddepageCar"/>
    <w:uiPriority w:val="99"/>
    <w:rsid w:val="003F74BB"/>
    <w:pPr>
      <w:tabs>
        <w:tab w:val="center" w:pos="4536"/>
        <w:tab w:val="right" w:pos="9072"/>
      </w:tabs>
    </w:pPr>
  </w:style>
  <w:style w:type="character" w:customStyle="1" w:styleId="PieddepageCar">
    <w:name w:val="Pied de page Car"/>
    <w:basedOn w:val="Policepardfaut"/>
    <w:link w:val="Pieddepage"/>
    <w:uiPriority w:val="99"/>
    <w:locked/>
    <w:rsid w:val="00AB047A"/>
    <w:rPr>
      <w:rFonts w:ascii="Arial" w:hAnsi="Arial" w:cs="Times New Roman"/>
      <w:sz w:val="20"/>
      <w:szCs w:val="20"/>
    </w:rPr>
  </w:style>
  <w:style w:type="character" w:styleId="Numrodepage">
    <w:name w:val="page number"/>
    <w:basedOn w:val="Policepardfaut"/>
    <w:uiPriority w:val="99"/>
    <w:rsid w:val="003F74BB"/>
    <w:rPr>
      <w:rFonts w:cs="Times New Roman"/>
    </w:rPr>
  </w:style>
  <w:style w:type="paragraph" w:customStyle="1" w:styleId="CarCar3CarCarCarCarCarCar">
    <w:name w:val="Car Car3 Car Car Car Car Car Car"/>
    <w:basedOn w:val="Normal"/>
    <w:uiPriority w:val="99"/>
    <w:rsid w:val="003F74BB"/>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character" w:styleId="Accentuation">
    <w:name w:val="Emphasis"/>
    <w:basedOn w:val="Policepardfaut"/>
    <w:uiPriority w:val="99"/>
    <w:qFormat/>
    <w:rsid w:val="003F74BB"/>
    <w:rPr>
      <w:rFonts w:cs="Times New Roman"/>
      <w:i/>
      <w:iCs/>
    </w:rPr>
  </w:style>
  <w:style w:type="paragraph" w:styleId="Textedebulles">
    <w:name w:val="Balloon Text"/>
    <w:basedOn w:val="Normal"/>
    <w:link w:val="TextedebullesCar"/>
    <w:uiPriority w:val="99"/>
    <w:semiHidden/>
    <w:rsid w:val="003F74BB"/>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B047A"/>
    <w:rPr>
      <w:rFonts w:cs="Times New Roman"/>
      <w:sz w:val="2"/>
    </w:rPr>
  </w:style>
  <w:style w:type="paragraph" w:customStyle="1" w:styleId="CarCarCarCarCar">
    <w:name w:val="Car Car Car Car Car"/>
    <w:basedOn w:val="Normal"/>
    <w:uiPriority w:val="99"/>
    <w:rsid w:val="00D30EEC"/>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paragraph" w:styleId="Notedebasdepage">
    <w:name w:val="footnote text"/>
    <w:basedOn w:val="Normal"/>
    <w:link w:val="NotedebasdepageCar"/>
    <w:semiHidden/>
    <w:rsid w:val="004C7EEE"/>
  </w:style>
  <w:style w:type="character" w:customStyle="1" w:styleId="NotedebasdepageCar">
    <w:name w:val="Note de bas de page Car"/>
    <w:basedOn w:val="Policepardfaut"/>
    <w:link w:val="Notedebasdepage"/>
    <w:uiPriority w:val="99"/>
    <w:semiHidden/>
    <w:locked/>
    <w:rsid w:val="00AB047A"/>
    <w:rPr>
      <w:rFonts w:ascii="Arial" w:hAnsi="Arial" w:cs="Times New Roman"/>
      <w:sz w:val="20"/>
      <w:szCs w:val="20"/>
    </w:rPr>
  </w:style>
  <w:style w:type="character" w:styleId="Appelnotedebasdep">
    <w:name w:val="footnote reference"/>
    <w:basedOn w:val="Policepardfaut"/>
    <w:semiHidden/>
    <w:rsid w:val="004C7EEE"/>
    <w:rPr>
      <w:rFonts w:cs="Times New Roman"/>
      <w:vertAlign w:val="superscript"/>
    </w:rPr>
  </w:style>
  <w:style w:type="character" w:styleId="lev">
    <w:name w:val="Strong"/>
    <w:basedOn w:val="Policepardfaut"/>
    <w:uiPriority w:val="99"/>
    <w:qFormat/>
    <w:rsid w:val="00690A8B"/>
    <w:rPr>
      <w:rFonts w:cs="Times New Roman"/>
      <w:b/>
      <w:bCs/>
    </w:rPr>
  </w:style>
  <w:style w:type="paragraph" w:customStyle="1" w:styleId="CarCar">
    <w:name w:val="Car Car"/>
    <w:basedOn w:val="Normal"/>
    <w:uiPriority w:val="99"/>
    <w:rsid w:val="00F779D7"/>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character" w:styleId="Marquedecommentaire">
    <w:name w:val="annotation reference"/>
    <w:basedOn w:val="Policepardfaut"/>
    <w:uiPriority w:val="99"/>
    <w:semiHidden/>
    <w:rsid w:val="002A3199"/>
    <w:rPr>
      <w:rFonts w:cs="Times New Roman"/>
      <w:sz w:val="16"/>
      <w:szCs w:val="16"/>
    </w:rPr>
  </w:style>
  <w:style w:type="paragraph" w:styleId="Commentaire">
    <w:name w:val="annotation text"/>
    <w:basedOn w:val="Normal"/>
    <w:link w:val="CommentaireCar"/>
    <w:uiPriority w:val="99"/>
    <w:semiHidden/>
    <w:rsid w:val="002A3199"/>
  </w:style>
  <w:style w:type="character" w:customStyle="1" w:styleId="CommentaireCar">
    <w:name w:val="Commentaire Car"/>
    <w:basedOn w:val="Policepardfaut"/>
    <w:link w:val="Commentaire"/>
    <w:uiPriority w:val="99"/>
    <w:semiHidden/>
    <w:locked/>
    <w:rsid w:val="00AB047A"/>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rsid w:val="002A3199"/>
    <w:rPr>
      <w:b/>
      <w:bCs/>
    </w:rPr>
  </w:style>
  <w:style w:type="character" w:customStyle="1" w:styleId="ObjetducommentaireCar">
    <w:name w:val="Objet du commentaire Car"/>
    <w:basedOn w:val="CommentaireCar"/>
    <w:link w:val="Objetducommentaire"/>
    <w:uiPriority w:val="99"/>
    <w:semiHidden/>
    <w:locked/>
    <w:rsid w:val="00AB047A"/>
    <w:rPr>
      <w:rFonts w:ascii="Arial" w:hAnsi="Arial" w:cs="Times New Roman"/>
      <w:b/>
      <w:bCs/>
      <w:sz w:val="20"/>
      <w:szCs w:val="20"/>
    </w:rPr>
  </w:style>
  <w:style w:type="paragraph" w:customStyle="1" w:styleId="CarCar2">
    <w:name w:val="Car Car2"/>
    <w:basedOn w:val="Normal"/>
    <w:uiPriority w:val="99"/>
    <w:rsid w:val="009A60CD"/>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paragraph" w:customStyle="1" w:styleId="CarCar1">
    <w:name w:val="Car Car1"/>
    <w:basedOn w:val="Normal"/>
    <w:rsid w:val="002230DB"/>
    <w:pPr>
      <w:widowControl w:val="0"/>
      <w:overflowPunct w:val="0"/>
      <w:autoSpaceDE w:val="0"/>
      <w:autoSpaceDN w:val="0"/>
      <w:adjustRightInd w:val="0"/>
      <w:spacing w:after="160" w:line="240" w:lineRule="exact"/>
      <w:jc w:val="left"/>
      <w:textAlignment w:val="baseline"/>
    </w:pPr>
    <w:rPr>
      <w:rFonts w:ascii="Tahoma" w:hAnsi="Tahoma"/>
      <w:lang w:val="en-US" w:eastAsia="en-US"/>
    </w:rPr>
  </w:style>
  <w:style w:type="paragraph" w:styleId="Paragraphedeliste">
    <w:name w:val="List Paragraph"/>
    <w:basedOn w:val="Normal"/>
    <w:uiPriority w:val="34"/>
    <w:qFormat/>
    <w:rsid w:val="008824B6"/>
    <w:pPr>
      <w:ind w:left="720"/>
      <w:contextualSpacing/>
    </w:pPr>
  </w:style>
  <w:style w:type="character" w:styleId="Lienhypertexte">
    <w:name w:val="Hyperlink"/>
    <w:basedOn w:val="Policepardfaut"/>
    <w:uiPriority w:val="99"/>
    <w:unhideWhenUsed/>
    <w:rsid w:val="00E35B86"/>
    <w:rPr>
      <w:color w:val="0000FF" w:themeColor="hyperlink"/>
      <w:u w:val="single"/>
    </w:rPr>
  </w:style>
  <w:style w:type="paragraph" w:styleId="NormalWeb">
    <w:name w:val="Normal (Web)"/>
    <w:basedOn w:val="Normal"/>
    <w:uiPriority w:val="99"/>
    <w:semiHidden/>
    <w:unhideWhenUsed/>
    <w:rsid w:val="002A12D4"/>
    <w:pPr>
      <w:spacing w:before="100" w:beforeAutospacing="1" w:after="100" w:afterAutospacing="1"/>
      <w:jc w:val="left"/>
    </w:pPr>
    <w:rPr>
      <w:rFonts w:ascii="Times" w:eastAsia="Times" w:hAnsi="Times"/>
    </w:rPr>
  </w:style>
  <w:style w:type="paragraph" w:styleId="Sous-titre">
    <w:name w:val="Subtitle"/>
    <w:basedOn w:val="Titre"/>
    <w:next w:val="Normal"/>
    <w:link w:val="Sous-titreCar"/>
    <w:qFormat/>
    <w:locked/>
    <w:rsid w:val="005B1F91"/>
    <w:pPr>
      <w:ind w:right="-176"/>
    </w:pPr>
    <w:rPr>
      <w:sz w:val="24"/>
      <w:szCs w:val="24"/>
    </w:rPr>
  </w:style>
  <w:style w:type="character" w:customStyle="1" w:styleId="Sous-titreCar">
    <w:name w:val="Sous-titre Car"/>
    <w:basedOn w:val="Policepardfaut"/>
    <w:link w:val="Sous-titre"/>
    <w:rsid w:val="005B1F91"/>
    <w:rPr>
      <w:rFonts w:ascii="Arial" w:hAnsi="Arial" w:cs="Arial"/>
      <w:b/>
      <w:color w:val="514B64"/>
      <w:sz w:val="24"/>
      <w:szCs w:val="24"/>
    </w:rPr>
  </w:style>
  <w:style w:type="character" w:customStyle="1" w:styleId="Titre4Car">
    <w:name w:val="Titre 4 Car"/>
    <w:basedOn w:val="Policepardfaut"/>
    <w:link w:val="Titre4"/>
    <w:rsid w:val="0080288A"/>
    <w:rPr>
      <w:rFonts w:asciiTheme="majorHAnsi" w:eastAsiaTheme="majorEastAsia" w:hAnsiTheme="majorHAnsi" w:cstheme="majorBidi"/>
      <w:b/>
      <w:bCs/>
      <w:i/>
      <w:iCs/>
      <w:noProof/>
      <w:color w:val="4F81BD" w:themeColor="accent1"/>
      <w:sz w:val="20"/>
      <w:szCs w:val="20"/>
    </w:rPr>
  </w:style>
  <w:style w:type="paragraph" w:styleId="En-ttedetabledesmatires">
    <w:name w:val="TOC Heading"/>
    <w:basedOn w:val="Titre1"/>
    <w:next w:val="Normal"/>
    <w:uiPriority w:val="39"/>
    <w:semiHidden/>
    <w:unhideWhenUsed/>
    <w:qFormat/>
    <w:rsid w:val="00E079C5"/>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TM1">
    <w:name w:val="toc 1"/>
    <w:basedOn w:val="Normal"/>
    <w:next w:val="Normal"/>
    <w:autoRedefine/>
    <w:uiPriority w:val="39"/>
    <w:locked/>
    <w:rsid w:val="00E079C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2726">
      <w:marLeft w:val="0"/>
      <w:marRight w:val="0"/>
      <w:marTop w:val="0"/>
      <w:marBottom w:val="0"/>
      <w:divBdr>
        <w:top w:val="none" w:sz="0" w:space="0" w:color="auto"/>
        <w:left w:val="none" w:sz="0" w:space="0" w:color="auto"/>
        <w:bottom w:val="none" w:sz="0" w:space="0" w:color="auto"/>
        <w:right w:val="none" w:sz="0" w:space="0" w:color="auto"/>
      </w:divBdr>
    </w:div>
    <w:div w:id="25252727">
      <w:marLeft w:val="0"/>
      <w:marRight w:val="0"/>
      <w:marTop w:val="0"/>
      <w:marBottom w:val="0"/>
      <w:divBdr>
        <w:top w:val="none" w:sz="0" w:space="0" w:color="auto"/>
        <w:left w:val="none" w:sz="0" w:space="0" w:color="auto"/>
        <w:bottom w:val="none" w:sz="0" w:space="0" w:color="auto"/>
        <w:right w:val="none" w:sz="0" w:space="0" w:color="auto"/>
      </w:divBdr>
      <w:divsChild>
        <w:div w:id="25252728">
          <w:marLeft w:val="0"/>
          <w:marRight w:val="0"/>
          <w:marTop w:val="0"/>
          <w:marBottom w:val="0"/>
          <w:divBdr>
            <w:top w:val="none" w:sz="0" w:space="0" w:color="auto"/>
            <w:left w:val="none" w:sz="0" w:space="0" w:color="auto"/>
            <w:bottom w:val="none" w:sz="0" w:space="0" w:color="auto"/>
            <w:right w:val="none" w:sz="0" w:space="0" w:color="auto"/>
          </w:divBdr>
        </w:div>
        <w:div w:id="25252749">
          <w:marLeft w:val="0"/>
          <w:marRight w:val="0"/>
          <w:marTop w:val="0"/>
          <w:marBottom w:val="0"/>
          <w:divBdr>
            <w:top w:val="none" w:sz="0" w:space="0" w:color="auto"/>
            <w:left w:val="none" w:sz="0" w:space="0" w:color="auto"/>
            <w:bottom w:val="none" w:sz="0" w:space="0" w:color="auto"/>
            <w:right w:val="none" w:sz="0" w:space="0" w:color="auto"/>
          </w:divBdr>
        </w:div>
      </w:divsChild>
    </w:div>
    <w:div w:id="25252729">
      <w:marLeft w:val="0"/>
      <w:marRight w:val="0"/>
      <w:marTop w:val="0"/>
      <w:marBottom w:val="0"/>
      <w:divBdr>
        <w:top w:val="none" w:sz="0" w:space="0" w:color="auto"/>
        <w:left w:val="none" w:sz="0" w:space="0" w:color="auto"/>
        <w:bottom w:val="none" w:sz="0" w:space="0" w:color="auto"/>
        <w:right w:val="none" w:sz="0" w:space="0" w:color="auto"/>
      </w:divBdr>
    </w:div>
    <w:div w:id="25252730">
      <w:marLeft w:val="0"/>
      <w:marRight w:val="0"/>
      <w:marTop w:val="0"/>
      <w:marBottom w:val="0"/>
      <w:divBdr>
        <w:top w:val="none" w:sz="0" w:space="0" w:color="auto"/>
        <w:left w:val="none" w:sz="0" w:space="0" w:color="auto"/>
        <w:bottom w:val="none" w:sz="0" w:space="0" w:color="auto"/>
        <w:right w:val="none" w:sz="0" w:space="0" w:color="auto"/>
      </w:divBdr>
    </w:div>
    <w:div w:id="25252731">
      <w:marLeft w:val="0"/>
      <w:marRight w:val="0"/>
      <w:marTop w:val="0"/>
      <w:marBottom w:val="0"/>
      <w:divBdr>
        <w:top w:val="none" w:sz="0" w:space="0" w:color="auto"/>
        <w:left w:val="none" w:sz="0" w:space="0" w:color="auto"/>
        <w:bottom w:val="none" w:sz="0" w:space="0" w:color="auto"/>
        <w:right w:val="none" w:sz="0" w:space="0" w:color="auto"/>
      </w:divBdr>
    </w:div>
    <w:div w:id="25252732">
      <w:marLeft w:val="0"/>
      <w:marRight w:val="0"/>
      <w:marTop w:val="0"/>
      <w:marBottom w:val="0"/>
      <w:divBdr>
        <w:top w:val="none" w:sz="0" w:space="0" w:color="auto"/>
        <w:left w:val="none" w:sz="0" w:space="0" w:color="auto"/>
        <w:bottom w:val="none" w:sz="0" w:space="0" w:color="auto"/>
        <w:right w:val="none" w:sz="0" w:space="0" w:color="auto"/>
      </w:divBdr>
    </w:div>
    <w:div w:id="25252733">
      <w:marLeft w:val="0"/>
      <w:marRight w:val="0"/>
      <w:marTop w:val="0"/>
      <w:marBottom w:val="0"/>
      <w:divBdr>
        <w:top w:val="none" w:sz="0" w:space="0" w:color="auto"/>
        <w:left w:val="none" w:sz="0" w:space="0" w:color="auto"/>
        <w:bottom w:val="none" w:sz="0" w:space="0" w:color="auto"/>
        <w:right w:val="none" w:sz="0" w:space="0" w:color="auto"/>
      </w:divBdr>
    </w:div>
    <w:div w:id="25252734">
      <w:marLeft w:val="30"/>
      <w:marRight w:val="75"/>
      <w:marTop w:val="30"/>
      <w:marBottom w:val="75"/>
      <w:divBdr>
        <w:top w:val="none" w:sz="0" w:space="0" w:color="auto"/>
        <w:left w:val="none" w:sz="0" w:space="0" w:color="auto"/>
        <w:bottom w:val="none" w:sz="0" w:space="0" w:color="auto"/>
        <w:right w:val="none" w:sz="0" w:space="0" w:color="auto"/>
      </w:divBdr>
    </w:div>
    <w:div w:id="25252735">
      <w:marLeft w:val="0"/>
      <w:marRight w:val="0"/>
      <w:marTop w:val="0"/>
      <w:marBottom w:val="0"/>
      <w:divBdr>
        <w:top w:val="none" w:sz="0" w:space="0" w:color="auto"/>
        <w:left w:val="none" w:sz="0" w:space="0" w:color="auto"/>
        <w:bottom w:val="none" w:sz="0" w:space="0" w:color="auto"/>
        <w:right w:val="none" w:sz="0" w:space="0" w:color="auto"/>
      </w:divBdr>
    </w:div>
    <w:div w:id="25252736">
      <w:marLeft w:val="0"/>
      <w:marRight w:val="0"/>
      <w:marTop w:val="0"/>
      <w:marBottom w:val="0"/>
      <w:divBdr>
        <w:top w:val="none" w:sz="0" w:space="0" w:color="auto"/>
        <w:left w:val="none" w:sz="0" w:space="0" w:color="auto"/>
        <w:bottom w:val="none" w:sz="0" w:space="0" w:color="auto"/>
        <w:right w:val="none" w:sz="0" w:space="0" w:color="auto"/>
      </w:divBdr>
    </w:div>
    <w:div w:id="25252737">
      <w:marLeft w:val="0"/>
      <w:marRight w:val="0"/>
      <w:marTop w:val="0"/>
      <w:marBottom w:val="0"/>
      <w:divBdr>
        <w:top w:val="none" w:sz="0" w:space="0" w:color="auto"/>
        <w:left w:val="none" w:sz="0" w:space="0" w:color="auto"/>
        <w:bottom w:val="none" w:sz="0" w:space="0" w:color="auto"/>
        <w:right w:val="none" w:sz="0" w:space="0" w:color="auto"/>
      </w:divBdr>
    </w:div>
    <w:div w:id="25252738">
      <w:marLeft w:val="0"/>
      <w:marRight w:val="0"/>
      <w:marTop w:val="0"/>
      <w:marBottom w:val="0"/>
      <w:divBdr>
        <w:top w:val="none" w:sz="0" w:space="0" w:color="auto"/>
        <w:left w:val="none" w:sz="0" w:space="0" w:color="auto"/>
        <w:bottom w:val="none" w:sz="0" w:space="0" w:color="auto"/>
        <w:right w:val="none" w:sz="0" w:space="0" w:color="auto"/>
      </w:divBdr>
    </w:div>
    <w:div w:id="25252739">
      <w:marLeft w:val="0"/>
      <w:marRight w:val="0"/>
      <w:marTop w:val="0"/>
      <w:marBottom w:val="0"/>
      <w:divBdr>
        <w:top w:val="none" w:sz="0" w:space="0" w:color="auto"/>
        <w:left w:val="none" w:sz="0" w:space="0" w:color="auto"/>
        <w:bottom w:val="none" w:sz="0" w:space="0" w:color="auto"/>
        <w:right w:val="none" w:sz="0" w:space="0" w:color="auto"/>
      </w:divBdr>
    </w:div>
    <w:div w:id="25252740">
      <w:marLeft w:val="0"/>
      <w:marRight w:val="0"/>
      <w:marTop w:val="0"/>
      <w:marBottom w:val="0"/>
      <w:divBdr>
        <w:top w:val="none" w:sz="0" w:space="0" w:color="auto"/>
        <w:left w:val="none" w:sz="0" w:space="0" w:color="auto"/>
        <w:bottom w:val="none" w:sz="0" w:space="0" w:color="auto"/>
        <w:right w:val="none" w:sz="0" w:space="0" w:color="auto"/>
      </w:divBdr>
    </w:div>
    <w:div w:id="25252741">
      <w:marLeft w:val="0"/>
      <w:marRight w:val="0"/>
      <w:marTop w:val="0"/>
      <w:marBottom w:val="0"/>
      <w:divBdr>
        <w:top w:val="none" w:sz="0" w:space="0" w:color="auto"/>
        <w:left w:val="none" w:sz="0" w:space="0" w:color="auto"/>
        <w:bottom w:val="none" w:sz="0" w:space="0" w:color="auto"/>
        <w:right w:val="none" w:sz="0" w:space="0" w:color="auto"/>
      </w:divBdr>
    </w:div>
    <w:div w:id="25252743">
      <w:marLeft w:val="0"/>
      <w:marRight w:val="0"/>
      <w:marTop w:val="0"/>
      <w:marBottom w:val="0"/>
      <w:divBdr>
        <w:top w:val="none" w:sz="0" w:space="0" w:color="auto"/>
        <w:left w:val="none" w:sz="0" w:space="0" w:color="auto"/>
        <w:bottom w:val="none" w:sz="0" w:space="0" w:color="auto"/>
        <w:right w:val="none" w:sz="0" w:space="0" w:color="auto"/>
      </w:divBdr>
    </w:div>
    <w:div w:id="25252744">
      <w:marLeft w:val="0"/>
      <w:marRight w:val="0"/>
      <w:marTop w:val="0"/>
      <w:marBottom w:val="0"/>
      <w:divBdr>
        <w:top w:val="none" w:sz="0" w:space="0" w:color="auto"/>
        <w:left w:val="none" w:sz="0" w:space="0" w:color="auto"/>
        <w:bottom w:val="none" w:sz="0" w:space="0" w:color="auto"/>
        <w:right w:val="none" w:sz="0" w:space="0" w:color="auto"/>
      </w:divBdr>
    </w:div>
    <w:div w:id="25252745">
      <w:marLeft w:val="0"/>
      <w:marRight w:val="0"/>
      <w:marTop w:val="0"/>
      <w:marBottom w:val="0"/>
      <w:divBdr>
        <w:top w:val="none" w:sz="0" w:space="0" w:color="auto"/>
        <w:left w:val="none" w:sz="0" w:space="0" w:color="auto"/>
        <w:bottom w:val="none" w:sz="0" w:space="0" w:color="auto"/>
        <w:right w:val="none" w:sz="0" w:space="0" w:color="auto"/>
      </w:divBdr>
    </w:div>
    <w:div w:id="25252746">
      <w:marLeft w:val="0"/>
      <w:marRight w:val="0"/>
      <w:marTop w:val="0"/>
      <w:marBottom w:val="0"/>
      <w:divBdr>
        <w:top w:val="none" w:sz="0" w:space="0" w:color="auto"/>
        <w:left w:val="none" w:sz="0" w:space="0" w:color="auto"/>
        <w:bottom w:val="none" w:sz="0" w:space="0" w:color="auto"/>
        <w:right w:val="none" w:sz="0" w:space="0" w:color="auto"/>
      </w:divBdr>
    </w:div>
    <w:div w:id="25252747">
      <w:marLeft w:val="0"/>
      <w:marRight w:val="0"/>
      <w:marTop w:val="0"/>
      <w:marBottom w:val="0"/>
      <w:divBdr>
        <w:top w:val="none" w:sz="0" w:space="0" w:color="auto"/>
        <w:left w:val="none" w:sz="0" w:space="0" w:color="auto"/>
        <w:bottom w:val="none" w:sz="0" w:space="0" w:color="auto"/>
        <w:right w:val="none" w:sz="0" w:space="0" w:color="auto"/>
      </w:divBdr>
    </w:div>
    <w:div w:id="25252748">
      <w:marLeft w:val="0"/>
      <w:marRight w:val="0"/>
      <w:marTop w:val="0"/>
      <w:marBottom w:val="0"/>
      <w:divBdr>
        <w:top w:val="none" w:sz="0" w:space="0" w:color="auto"/>
        <w:left w:val="none" w:sz="0" w:space="0" w:color="auto"/>
        <w:bottom w:val="none" w:sz="0" w:space="0" w:color="auto"/>
        <w:right w:val="none" w:sz="0" w:space="0" w:color="auto"/>
      </w:divBdr>
    </w:div>
    <w:div w:id="25252750">
      <w:marLeft w:val="0"/>
      <w:marRight w:val="0"/>
      <w:marTop w:val="0"/>
      <w:marBottom w:val="0"/>
      <w:divBdr>
        <w:top w:val="none" w:sz="0" w:space="0" w:color="auto"/>
        <w:left w:val="none" w:sz="0" w:space="0" w:color="auto"/>
        <w:bottom w:val="none" w:sz="0" w:space="0" w:color="auto"/>
        <w:right w:val="none" w:sz="0" w:space="0" w:color="auto"/>
      </w:divBdr>
    </w:div>
    <w:div w:id="25252751">
      <w:marLeft w:val="0"/>
      <w:marRight w:val="0"/>
      <w:marTop w:val="0"/>
      <w:marBottom w:val="0"/>
      <w:divBdr>
        <w:top w:val="none" w:sz="0" w:space="0" w:color="auto"/>
        <w:left w:val="none" w:sz="0" w:space="0" w:color="auto"/>
        <w:bottom w:val="none" w:sz="0" w:space="0" w:color="auto"/>
        <w:right w:val="none" w:sz="0" w:space="0" w:color="auto"/>
      </w:divBdr>
    </w:div>
    <w:div w:id="25252752">
      <w:marLeft w:val="0"/>
      <w:marRight w:val="0"/>
      <w:marTop w:val="0"/>
      <w:marBottom w:val="0"/>
      <w:divBdr>
        <w:top w:val="none" w:sz="0" w:space="0" w:color="auto"/>
        <w:left w:val="none" w:sz="0" w:space="0" w:color="auto"/>
        <w:bottom w:val="none" w:sz="0" w:space="0" w:color="auto"/>
        <w:right w:val="none" w:sz="0" w:space="0" w:color="auto"/>
      </w:divBdr>
    </w:div>
    <w:div w:id="25252753">
      <w:marLeft w:val="0"/>
      <w:marRight w:val="0"/>
      <w:marTop w:val="0"/>
      <w:marBottom w:val="0"/>
      <w:divBdr>
        <w:top w:val="none" w:sz="0" w:space="0" w:color="auto"/>
        <w:left w:val="none" w:sz="0" w:space="0" w:color="auto"/>
        <w:bottom w:val="none" w:sz="0" w:space="0" w:color="auto"/>
        <w:right w:val="none" w:sz="0" w:space="0" w:color="auto"/>
      </w:divBdr>
    </w:div>
    <w:div w:id="25252754">
      <w:marLeft w:val="0"/>
      <w:marRight w:val="0"/>
      <w:marTop w:val="0"/>
      <w:marBottom w:val="0"/>
      <w:divBdr>
        <w:top w:val="none" w:sz="0" w:space="0" w:color="auto"/>
        <w:left w:val="none" w:sz="0" w:space="0" w:color="auto"/>
        <w:bottom w:val="none" w:sz="0" w:space="0" w:color="auto"/>
        <w:right w:val="none" w:sz="0" w:space="0" w:color="auto"/>
      </w:divBdr>
    </w:div>
    <w:div w:id="25252755">
      <w:marLeft w:val="0"/>
      <w:marRight w:val="0"/>
      <w:marTop w:val="0"/>
      <w:marBottom w:val="0"/>
      <w:divBdr>
        <w:top w:val="none" w:sz="0" w:space="0" w:color="auto"/>
        <w:left w:val="none" w:sz="0" w:space="0" w:color="auto"/>
        <w:bottom w:val="none" w:sz="0" w:space="0" w:color="auto"/>
        <w:right w:val="none" w:sz="0" w:space="0" w:color="auto"/>
      </w:divBdr>
      <w:divsChild>
        <w:div w:id="25252742">
          <w:marLeft w:val="0"/>
          <w:marRight w:val="0"/>
          <w:marTop w:val="0"/>
          <w:marBottom w:val="0"/>
          <w:divBdr>
            <w:top w:val="none" w:sz="0" w:space="0" w:color="auto"/>
            <w:left w:val="none" w:sz="0" w:space="0" w:color="auto"/>
            <w:bottom w:val="none" w:sz="0" w:space="0" w:color="auto"/>
            <w:right w:val="none" w:sz="0" w:space="0" w:color="auto"/>
          </w:divBdr>
        </w:div>
        <w:div w:id="25252760">
          <w:marLeft w:val="0"/>
          <w:marRight w:val="0"/>
          <w:marTop w:val="0"/>
          <w:marBottom w:val="0"/>
          <w:divBdr>
            <w:top w:val="none" w:sz="0" w:space="0" w:color="auto"/>
            <w:left w:val="none" w:sz="0" w:space="0" w:color="auto"/>
            <w:bottom w:val="none" w:sz="0" w:space="0" w:color="auto"/>
            <w:right w:val="none" w:sz="0" w:space="0" w:color="auto"/>
          </w:divBdr>
        </w:div>
        <w:div w:id="25252761">
          <w:marLeft w:val="0"/>
          <w:marRight w:val="0"/>
          <w:marTop w:val="0"/>
          <w:marBottom w:val="0"/>
          <w:divBdr>
            <w:top w:val="none" w:sz="0" w:space="0" w:color="auto"/>
            <w:left w:val="none" w:sz="0" w:space="0" w:color="auto"/>
            <w:bottom w:val="none" w:sz="0" w:space="0" w:color="auto"/>
            <w:right w:val="none" w:sz="0" w:space="0" w:color="auto"/>
          </w:divBdr>
        </w:div>
      </w:divsChild>
    </w:div>
    <w:div w:id="25252756">
      <w:marLeft w:val="0"/>
      <w:marRight w:val="0"/>
      <w:marTop w:val="0"/>
      <w:marBottom w:val="0"/>
      <w:divBdr>
        <w:top w:val="none" w:sz="0" w:space="0" w:color="auto"/>
        <w:left w:val="none" w:sz="0" w:space="0" w:color="auto"/>
        <w:bottom w:val="none" w:sz="0" w:space="0" w:color="auto"/>
        <w:right w:val="none" w:sz="0" w:space="0" w:color="auto"/>
      </w:divBdr>
    </w:div>
    <w:div w:id="25252757">
      <w:marLeft w:val="0"/>
      <w:marRight w:val="0"/>
      <w:marTop w:val="0"/>
      <w:marBottom w:val="0"/>
      <w:divBdr>
        <w:top w:val="none" w:sz="0" w:space="0" w:color="auto"/>
        <w:left w:val="none" w:sz="0" w:space="0" w:color="auto"/>
        <w:bottom w:val="none" w:sz="0" w:space="0" w:color="auto"/>
        <w:right w:val="none" w:sz="0" w:space="0" w:color="auto"/>
      </w:divBdr>
    </w:div>
    <w:div w:id="25252758">
      <w:marLeft w:val="0"/>
      <w:marRight w:val="0"/>
      <w:marTop w:val="0"/>
      <w:marBottom w:val="0"/>
      <w:divBdr>
        <w:top w:val="none" w:sz="0" w:space="0" w:color="auto"/>
        <w:left w:val="none" w:sz="0" w:space="0" w:color="auto"/>
        <w:bottom w:val="none" w:sz="0" w:space="0" w:color="auto"/>
        <w:right w:val="none" w:sz="0" w:space="0" w:color="auto"/>
      </w:divBdr>
    </w:div>
    <w:div w:id="25252759">
      <w:marLeft w:val="0"/>
      <w:marRight w:val="0"/>
      <w:marTop w:val="0"/>
      <w:marBottom w:val="0"/>
      <w:divBdr>
        <w:top w:val="none" w:sz="0" w:space="0" w:color="auto"/>
        <w:left w:val="none" w:sz="0" w:space="0" w:color="auto"/>
        <w:bottom w:val="none" w:sz="0" w:space="0" w:color="auto"/>
        <w:right w:val="none" w:sz="0" w:space="0" w:color="auto"/>
      </w:divBdr>
      <w:divsChild>
        <w:div w:id="25252724">
          <w:marLeft w:val="0"/>
          <w:marRight w:val="0"/>
          <w:marTop w:val="0"/>
          <w:marBottom w:val="0"/>
          <w:divBdr>
            <w:top w:val="none" w:sz="0" w:space="0" w:color="auto"/>
            <w:left w:val="none" w:sz="0" w:space="0" w:color="auto"/>
            <w:bottom w:val="none" w:sz="0" w:space="0" w:color="auto"/>
            <w:right w:val="none" w:sz="0" w:space="0" w:color="auto"/>
          </w:divBdr>
        </w:div>
        <w:div w:id="25252725">
          <w:marLeft w:val="0"/>
          <w:marRight w:val="0"/>
          <w:marTop w:val="0"/>
          <w:marBottom w:val="0"/>
          <w:divBdr>
            <w:top w:val="none" w:sz="0" w:space="0" w:color="auto"/>
            <w:left w:val="none" w:sz="0" w:space="0" w:color="auto"/>
            <w:bottom w:val="none" w:sz="0" w:space="0" w:color="auto"/>
            <w:right w:val="none" w:sz="0" w:space="0" w:color="auto"/>
          </w:divBdr>
        </w:div>
      </w:divsChild>
    </w:div>
    <w:div w:id="25252762">
      <w:marLeft w:val="0"/>
      <w:marRight w:val="0"/>
      <w:marTop w:val="0"/>
      <w:marBottom w:val="0"/>
      <w:divBdr>
        <w:top w:val="none" w:sz="0" w:space="0" w:color="auto"/>
        <w:left w:val="none" w:sz="0" w:space="0" w:color="auto"/>
        <w:bottom w:val="none" w:sz="0" w:space="0" w:color="auto"/>
        <w:right w:val="none" w:sz="0" w:space="0" w:color="auto"/>
      </w:divBdr>
    </w:div>
    <w:div w:id="159469019">
      <w:bodyDiv w:val="1"/>
      <w:marLeft w:val="0"/>
      <w:marRight w:val="0"/>
      <w:marTop w:val="0"/>
      <w:marBottom w:val="0"/>
      <w:divBdr>
        <w:top w:val="none" w:sz="0" w:space="0" w:color="auto"/>
        <w:left w:val="none" w:sz="0" w:space="0" w:color="auto"/>
        <w:bottom w:val="none" w:sz="0" w:space="0" w:color="auto"/>
        <w:right w:val="none" w:sz="0" w:space="0" w:color="auto"/>
      </w:divBdr>
    </w:div>
    <w:div w:id="343292330">
      <w:bodyDiv w:val="1"/>
      <w:marLeft w:val="0"/>
      <w:marRight w:val="0"/>
      <w:marTop w:val="0"/>
      <w:marBottom w:val="0"/>
      <w:divBdr>
        <w:top w:val="none" w:sz="0" w:space="0" w:color="auto"/>
        <w:left w:val="none" w:sz="0" w:space="0" w:color="auto"/>
        <w:bottom w:val="none" w:sz="0" w:space="0" w:color="auto"/>
        <w:right w:val="none" w:sz="0" w:space="0" w:color="auto"/>
      </w:divBdr>
    </w:div>
    <w:div w:id="391930732">
      <w:bodyDiv w:val="1"/>
      <w:marLeft w:val="30"/>
      <w:marRight w:val="75"/>
      <w:marTop w:val="30"/>
      <w:marBottom w:val="75"/>
      <w:divBdr>
        <w:top w:val="none" w:sz="0" w:space="0" w:color="auto"/>
        <w:left w:val="none" w:sz="0" w:space="0" w:color="auto"/>
        <w:bottom w:val="none" w:sz="0" w:space="0" w:color="auto"/>
        <w:right w:val="none" w:sz="0" w:space="0" w:color="auto"/>
      </w:divBdr>
    </w:div>
    <w:div w:id="782768531">
      <w:bodyDiv w:val="1"/>
      <w:marLeft w:val="0"/>
      <w:marRight w:val="0"/>
      <w:marTop w:val="0"/>
      <w:marBottom w:val="0"/>
      <w:divBdr>
        <w:top w:val="none" w:sz="0" w:space="0" w:color="auto"/>
        <w:left w:val="none" w:sz="0" w:space="0" w:color="auto"/>
        <w:bottom w:val="none" w:sz="0" w:space="0" w:color="auto"/>
        <w:right w:val="none" w:sz="0" w:space="0" w:color="auto"/>
      </w:divBdr>
    </w:div>
    <w:div w:id="1346590138">
      <w:bodyDiv w:val="1"/>
      <w:marLeft w:val="0"/>
      <w:marRight w:val="0"/>
      <w:marTop w:val="0"/>
      <w:marBottom w:val="0"/>
      <w:divBdr>
        <w:top w:val="none" w:sz="0" w:space="0" w:color="auto"/>
        <w:left w:val="none" w:sz="0" w:space="0" w:color="auto"/>
        <w:bottom w:val="none" w:sz="0" w:space="0" w:color="auto"/>
        <w:right w:val="none" w:sz="0" w:space="0" w:color="auto"/>
      </w:divBdr>
    </w:div>
    <w:div w:id="1350714580">
      <w:bodyDiv w:val="1"/>
      <w:marLeft w:val="0"/>
      <w:marRight w:val="0"/>
      <w:marTop w:val="0"/>
      <w:marBottom w:val="0"/>
      <w:divBdr>
        <w:top w:val="none" w:sz="0" w:space="0" w:color="auto"/>
        <w:left w:val="none" w:sz="0" w:space="0" w:color="auto"/>
        <w:bottom w:val="none" w:sz="0" w:space="0" w:color="auto"/>
        <w:right w:val="none" w:sz="0" w:space="0" w:color="auto"/>
      </w:divBdr>
    </w:div>
    <w:div w:id="2035037490">
      <w:bodyDiv w:val="1"/>
      <w:marLeft w:val="0"/>
      <w:marRight w:val="0"/>
      <w:marTop w:val="0"/>
      <w:marBottom w:val="0"/>
      <w:divBdr>
        <w:top w:val="none" w:sz="0" w:space="0" w:color="auto"/>
        <w:left w:val="none" w:sz="0" w:space="0" w:color="auto"/>
        <w:bottom w:val="none" w:sz="0" w:space="0" w:color="auto"/>
        <w:right w:val="none" w:sz="0" w:space="0" w:color="auto"/>
      </w:divBdr>
    </w:div>
    <w:div w:id="212915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1AC96-8341-472E-9DD3-4EACCC58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451</Words>
  <Characters>2557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Note conjoncture ex-DG par régions</vt:lpstr>
    </vt:vector>
  </TitlesOfParts>
  <Company>ATIH</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Céline LEFEVRE</dc:creator>
  <cp:keywords/>
  <dc:description/>
  <cp:lastModifiedBy>Céline LEFEVRE</cp:lastModifiedBy>
  <cp:revision>7</cp:revision>
  <cp:lastPrinted>2014-03-25T11:17:00Z</cp:lastPrinted>
  <dcterms:created xsi:type="dcterms:W3CDTF">2014-02-27T10:46:00Z</dcterms:created>
  <dcterms:modified xsi:type="dcterms:W3CDTF">2015-12-17T09:18:00Z</dcterms:modified>
  <cp:contentStatus/>
</cp:coreProperties>
</file>